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E5" w:rsidRDefault="005F6FE5" w:rsidP="005F6FE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855700" w:rsidRPr="005F6FE5" w:rsidRDefault="009940CE" w:rsidP="0082557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E5">
        <w:rPr>
          <w:rFonts w:ascii="Times New Roman" w:hAnsi="Times New Roman" w:cs="Times New Roman"/>
          <w:b/>
          <w:sz w:val="24"/>
          <w:szCs w:val="24"/>
        </w:rPr>
        <w:t>Ритуал жертвопри</w:t>
      </w:r>
      <w:r w:rsidR="005F6FE5" w:rsidRPr="005F6FE5">
        <w:rPr>
          <w:rFonts w:ascii="Times New Roman" w:hAnsi="Times New Roman" w:cs="Times New Roman"/>
          <w:b/>
          <w:sz w:val="24"/>
          <w:szCs w:val="24"/>
        </w:rPr>
        <w:t xml:space="preserve">ношения в концепции Рене </w:t>
      </w:r>
      <w:proofErr w:type="spellStart"/>
      <w:r w:rsidR="005F6FE5" w:rsidRPr="005F6FE5">
        <w:rPr>
          <w:rFonts w:ascii="Times New Roman" w:hAnsi="Times New Roman" w:cs="Times New Roman"/>
          <w:b/>
          <w:sz w:val="24"/>
          <w:szCs w:val="24"/>
        </w:rPr>
        <w:t>Жирара</w:t>
      </w:r>
      <w:proofErr w:type="spellEnd"/>
    </w:p>
    <w:p w:rsidR="00855700" w:rsidRPr="005F6FE5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Рене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начинал как литературный критик, исследовавший, в частности, произведений Федора Достоевского. В этих произведениях его завораживали проявления человеческой жадности и странные вспышки насилия, которые возникали между героями драматических любовных «треугольников». Так 1963 году он пишет книгу «Достоевский: от двойственности к единству». Эти исследования привели его к изучению конфликтов, описанных в греческих трагедиях и в пьесах Шекспира, и к науке этнологии, в которой, в частности, исследуются так называемые «примитивные» общества и связанный с ними феномен священных жертвенных обрядов, например, широко известный обряд «козла отпущения». В 1972 году появилась знаменитая книга Рене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Жирара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«Насилие и священное», в которой и были сформулированы основные положения его теории.</w:t>
      </w:r>
      <w:r w:rsidR="007321B4" w:rsidRPr="007321B4">
        <w:rPr>
          <w:rFonts w:ascii="Times New Roman" w:hAnsi="Times New Roman" w:cs="Times New Roman"/>
          <w:sz w:val="24"/>
          <w:szCs w:val="24"/>
        </w:rPr>
        <w:t xml:space="preserve"> </w:t>
      </w:r>
      <w:r w:rsidR="007321B4" w:rsidRPr="005F6FE5">
        <w:rPr>
          <w:rFonts w:ascii="Times New Roman" w:hAnsi="Times New Roman" w:cs="Times New Roman"/>
          <w:sz w:val="24"/>
          <w:szCs w:val="24"/>
        </w:rPr>
        <w:t>[4]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Кто из нас не знаком с кино или видеокадрами о ритуальных танцах «диких» племен, в которых воспроизводится одна и та же картина: зарождение насилия, постепенное нарастание гнева и агрессии, а тогда кульминационная разрядка конфликта в схватке и общее успокоение эмоций? Что это? Театральная сценка, чтобы не скучно было жить? Познавательные рассказы о прошлом своего племени, как считал Эмиль Дюркгейм? Или вырывание на свободу скрытого сексуального либидо, как считал Зигмунд Фрейд? 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Все эти предположения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отверг. Для него ритуальные жертвенные танцы это, если хотите, коллективная «школа» предотвращения насилия, это напоминание членам племени об опасности нарушения табу, это даже психотерапевтический и ритуально контролируемый вывод на поверхность агрессии, накопленной в племени, и нейтрализация ее. Сам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определяет эту задачу так: «Жертвование предназначено элиминировать ссоры, соперничества, зависть и распри между родными и соседями». Он считает ритуал жертвоприношение ключевым для понимания религии. В своей книге «Насилие и священное»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Р.Жирар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</w:t>
      </w:r>
      <w:r w:rsidR="00962AE7" w:rsidRPr="00825570">
        <w:rPr>
          <w:rFonts w:ascii="Times New Roman" w:hAnsi="Times New Roman" w:cs="Times New Roman"/>
          <w:sz w:val="24"/>
          <w:szCs w:val="24"/>
        </w:rPr>
        <w:t xml:space="preserve">объектом для размышлений выделяет ритуалы примитивных народов и в первую очередь ритуал жертвоприношения. </w:t>
      </w:r>
      <w:proofErr w:type="spellStart"/>
      <w:r w:rsidR="00962AE7"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="00962AE7" w:rsidRPr="00825570">
        <w:rPr>
          <w:rFonts w:ascii="Times New Roman" w:hAnsi="Times New Roman" w:cs="Times New Roman"/>
          <w:sz w:val="24"/>
          <w:szCs w:val="24"/>
        </w:rPr>
        <w:t xml:space="preserve"> поддерживает точку зрения, с которой ритуал является источником религии вообще. Однако он не ос</w:t>
      </w:r>
      <w:r w:rsidR="009940CE" w:rsidRPr="00825570">
        <w:rPr>
          <w:rFonts w:ascii="Times New Roman" w:hAnsi="Times New Roman" w:cs="Times New Roman"/>
          <w:sz w:val="24"/>
          <w:szCs w:val="24"/>
        </w:rPr>
        <w:t>танавливается на этом, а ставит</w:t>
      </w:r>
      <w:r w:rsidR="00962AE7" w:rsidRPr="00825570">
        <w:rPr>
          <w:rFonts w:ascii="Times New Roman" w:hAnsi="Times New Roman" w:cs="Times New Roman"/>
          <w:sz w:val="24"/>
          <w:szCs w:val="24"/>
        </w:rPr>
        <w:t xml:space="preserve"> перед собой цель восстановить историю его возникновения. С его точки зрения ритуал жертвоприношения является насилием без риска мести, создающим единение.</w:t>
      </w:r>
      <w:r w:rsidR="009940CE" w:rsidRPr="00825570">
        <w:rPr>
          <w:rFonts w:ascii="Times New Roman" w:hAnsi="Times New Roman" w:cs="Times New Roman"/>
          <w:sz w:val="24"/>
          <w:szCs w:val="24"/>
        </w:rPr>
        <w:t xml:space="preserve"> Данная версия является главной в теории насилия и священного в концепции Рене </w:t>
      </w:r>
      <w:proofErr w:type="spellStart"/>
      <w:r w:rsidR="009940CE" w:rsidRPr="00825570">
        <w:rPr>
          <w:rFonts w:ascii="Times New Roman" w:hAnsi="Times New Roman" w:cs="Times New Roman"/>
          <w:sz w:val="24"/>
          <w:szCs w:val="24"/>
        </w:rPr>
        <w:t>Жирара</w:t>
      </w:r>
      <w:proofErr w:type="spellEnd"/>
      <w:r w:rsidR="009940CE" w:rsidRPr="00825570">
        <w:rPr>
          <w:rFonts w:ascii="Times New Roman" w:hAnsi="Times New Roman" w:cs="Times New Roman"/>
          <w:sz w:val="24"/>
          <w:szCs w:val="24"/>
        </w:rPr>
        <w:t>, подробные примеры ритуала жертвоприношения приведены в книгах «Насилие и Священное», «Козел отпущения».</w:t>
      </w:r>
    </w:p>
    <w:p w:rsidR="00855700" w:rsidRPr="00825570" w:rsidRDefault="009940CE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Насилие является определяющим фактором ритуала жертвоприношения и </w:t>
      </w:r>
      <w:r w:rsidR="00855700" w:rsidRPr="00825570">
        <w:rPr>
          <w:rFonts w:ascii="Times New Roman" w:hAnsi="Times New Roman" w:cs="Times New Roman"/>
          <w:sz w:val="24"/>
          <w:szCs w:val="24"/>
        </w:rPr>
        <w:t xml:space="preserve">Рене </w:t>
      </w:r>
      <w:proofErr w:type="spellStart"/>
      <w:r w:rsidR="00855700"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="00855700" w:rsidRPr="00825570">
        <w:rPr>
          <w:rFonts w:ascii="Times New Roman" w:hAnsi="Times New Roman" w:cs="Times New Roman"/>
          <w:sz w:val="24"/>
          <w:szCs w:val="24"/>
        </w:rPr>
        <w:t xml:space="preserve"> отметил несколько особенностей насилия.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lastRenderedPageBreak/>
        <w:t>Гнев заразен и способен, как пламя, охватить все сообщество. В гневе все люди вроде и склонны все зло приписывать противнику. В конце концов, каждый протагонист прибегает к насилию, но каждый верит, что оправданные причины для этого.</w:t>
      </w:r>
    </w:p>
    <w:p w:rsidR="00855700" w:rsidRPr="005F6FE5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>Гнев слепой и может разряжаться на случайных объектах. Именно поэтому в сказках и мифах таким распространенным является подбрасывание разгневанным чудовищам какого-то заменителя, на котором и разряжается их гнев.</w:t>
      </w:r>
      <w:r w:rsidR="007321B4" w:rsidRPr="007321B4">
        <w:rPr>
          <w:rFonts w:ascii="Times New Roman" w:hAnsi="Times New Roman" w:cs="Times New Roman"/>
          <w:sz w:val="24"/>
          <w:szCs w:val="24"/>
        </w:rPr>
        <w:t xml:space="preserve"> [</w:t>
      </w:r>
      <w:r w:rsidR="007321B4" w:rsidRPr="005F6FE5">
        <w:rPr>
          <w:rFonts w:ascii="Times New Roman" w:hAnsi="Times New Roman" w:cs="Times New Roman"/>
          <w:sz w:val="24"/>
          <w:szCs w:val="24"/>
        </w:rPr>
        <w:t>3]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У животных благодаря инстинкту </w:t>
      </w:r>
      <w:proofErr w:type="gramStart"/>
      <w:r w:rsidRPr="00825570">
        <w:rPr>
          <w:rFonts w:ascii="Times New Roman" w:hAnsi="Times New Roman" w:cs="Times New Roman"/>
          <w:sz w:val="24"/>
          <w:szCs w:val="24"/>
        </w:rPr>
        <w:t>существуют механизмы торможения конфликта в какой-то момент схватки одно из животных дает</w:t>
      </w:r>
      <w:proofErr w:type="gramEnd"/>
      <w:r w:rsidRPr="00825570">
        <w:rPr>
          <w:rFonts w:ascii="Times New Roman" w:hAnsi="Times New Roman" w:cs="Times New Roman"/>
          <w:sz w:val="24"/>
          <w:szCs w:val="24"/>
        </w:rPr>
        <w:t xml:space="preserve"> своему сопернику знак покорности. У людей такого инстинкта нет.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>Нет однозначно злых и однозначно хороших героев; страсти и тяга к насилию рано или поздно привлекают всех.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Принимая во внимание эти и некоторые другие особенности конфликта,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формулирует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миметическую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теорию насилия (от греческого слова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подражание). Человеческая жадность, как и в произведениях Достоевского, почти всегда действует в определенном треугольнике:</w:t>
      </w:r>
    </w:p>
    <w:p w:rsidR="00855700" w:rsidRPr="00825570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>Жажда является всегда подражанием другой жажды, жаждой одного и того же объекта и вследствие этого неисчерпаемым источником конфликтов и насилия.</w:t>
      </w:r>
    </w:p>
    <w:p w:rsidR="00855700" w:rsidRPr="007321B4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неизбежно ведет к насилию. Есть ли из этой неизбежности выход?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заметил, что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, который является причиной конфликта, творит и механизм его урегулирования. Представим себе сообщество, которое охватило соперничество. Каждый борется со всеми, хаос, непонятно, где добро, а где зло. И вдруг кто-то один прибегает к привлекательному и победному поступку в отношении кого-то из своих соперников. </w:t>
      </w:r>
      <w:proofErr w:type="spellStart"/>
      <w:r w:rsidRPr="00825570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Pr="00825570">
        <w:rPr>
          <w:rFonts w:ascii="Times New Roman" w:hAnsi="Times New Roman" w:cs="Times New Roman"/>
          <w:sz w:val="24"/>
          <w:szCs w:val="24"/>
        </w:rPr>
        <w:t xml:space="preserve"> – это подражание. Так все больше людей стремится следовать этому победному поступку. В конце взаимные споры и насилие всех против всех почти мгновенно обращаются в единодушное насилие всех против одного. Так насилие переносится на другую, часто случайную жертву. Последняя погибает, но общество спасено: все с удивлением замечают, что в сообщество вступил мир, что они «очищенные» от греха вражды и люди уже не кажутся друг другу </w:t>
      </w:r>
      <w:r w:rsidR="007321B4" w:rsidRPr="00825570">
        <w:rPr>
          <w:rFonts w:ascii="Times New Roman" w:hAnsi="Times New Roman" w:cs="Times New Roman"/>
          <w:sz w:val="24"/>
          <w:szCs w:val="24"/>
        </w:rPr>
        <w:t>чудовищами.</w:t>
      </w:r>
      <w:r w:rsidR="007321B4">
        <w:rPr>
          <w:rFonts w:ascii="Times New Roman" w:hAnsi="Times New Roman" w:cs="Times New Roman"/>
          <w:sz w:val="24"/>
          <w:szCs w:val="24"/>
        </w:rPr>
        <w:t xml:space="preserve"> [1;10</w:t>
      </w:r>
      <w:r w:rsidR="007321B4" w:rsidRPr="007321B4">
        <w:rPr>
          <w:rFonts w:ascii="Times New Roman" w:hAnsi="Times New Roman" w:cs="Times New Roman"/>
          <w:sz w:val="24"/>
          <w:szCs w:val="24"/>
        </w:rPr>
        <w:t>]</w:t>
      </w:r>
    </w:p>
    <w:p w:rsidR="008E2F62" w:rsidRDefault="00855700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 xml:space="preserve">Эта закономерность относится к психике человека, а потому не зависит от национальной принадлежности. Повторяю, в гневе все люди похожи. Те общества, которые мы назвали примитивными и дикими, знали разрушительное действие этой закономерности и сумели ее нейтрализовать через священные жертвенные ритуалы. Племя, которое нормально живет в условиях суровых табу, вдруг наблюдает, как во время ритуала эти табу сознательно нарушаются и соперничества выходят наружу. Нарастает агрессия, хаос, и все это разряжается на ритуальной жертве как правило, члене другого </w:t>
      </w:r>
      <w:r w:rsidRPr="00825570">
        <w:rPr>
          <w:rFonts w:ascii="Times New Roman" w:hAnsi="Times New Roman" w:cs="Times New Roman"/>
          <w:sz w:val="24"/>
          <w:szCs w:val="24"/>
        </w:rPr>
        <w:lastRenderedPageBreak/>
        <w:t>племени или жертвенном животном. Так в племя возвращается мир, а заодно и память об опасности нарушения табу.</w:t>
      </w:r>
    </w:p>
    <w:p w:rsidR="00DD3E16" w:rsidRPr="007321B4" w:rsidRDefault="00DD3E16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ритуал жертвоприношения не актуален, в связи с тем, что ритуал жертвоприношения как установление справедливости и «мира» перевоплотился в законное насилие, правила которого заключаются в законодательстве, наказание за нарушение которых устанавливает суд. Тем самым судебная система заменяет ритуал жертвоприношения. Об этом Рене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пишет: «Все процедуры, позволяющие людям ослаблять свое насилие, схожи тем, что каждая из них как-то с насилием связана</w:t>
      </w:r>
      <w:r w:rsidR="007321B4" w:rsidRPr="00732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(…) …религия в узком смысле слова совпадает с различными способами профилактики…»</w:t>
      </w:r>
      <w:r w:rsidR="007321B4" w:rsidRPr="007321B4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9940CE" w:rsidRDefault="009940CE" w:rsidP="00825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570">
        <w:rPr>
          <w:rFonts w:ascii="Times New Roman" w:hAnsi="Times New Roman" w:cs="Times New Roman"/>
          <w:sz w:val="24"/>
          <w:szCs w:val="24"/>
        </w:rPr>
        <w:t>Из вышесказанного можно сделать вывод, что ритуал жертвоприношения присутствовал в каждом</w:t>
      </w:r>
      <w:r w:rsidR="00FF37BD" w:rsidRPr="00825570">
        <w:rPr>
          <w:rFonts w:ascii="Times New Roman" w:hAnsi="Times New Roman" w:cs="Times New Roman"/>
          <w:sz w:val="24"/>
          <w:szCs w:val="24"/>
        </w:rPr>
        <w:t xml:space="preserve"> примитивном и диком</w:t>
      </w:r>
      <w:r w:rsidRPr="00825570">
        <w:rPr>
          <w:rFonts w:ascii="Times New Roman" w:hAnsi="Times New Roman" w:cs="Times New Roman"/>
          <w:sz w:val="24"/>
          <w:szCs w:val="24"/>
        </w:rPr>
        <w:t xml:space="preserve"> обществе и являлся основополагающим в</w:t>
      </w:r>
      <w:r w:rsidR="00FF37BD" w:rsidRPr="00825570">
        <w:rPr>
          <w:rFonts w:ascii="Times New Roman" w:hAnsi="Times New Roman" w:cs="Times New Roman"/>
          <w:sz w:val="24"/>
          <w:szCs w:val="24"/>
        </w:rPr>
        <w:t xml:space="preserve"> формирования религии</w:t>
      </w:r>
      <w:r w:rsidR="00DD3E16">
        <w:rPr>
          <w:rFonts w:ascii="Times New Roman" w:hAnsi="Times New Roman" w:cs="Times New Roman"/>
          <w:sz w:val="24"/>
          <w:szCs w:val="24"/>
        </w:rPr>
        <w:t>.</w:t>
      </w:r>
      <w:r w:rsidR="00FF37BD" w:rsidRPr="00825570">
        <w:rPr>
          <w:rFonts w:ascii="Times New Roman" w:hAnsi="Times New Roman" w:cs="Times New Roman"/>
          <w:sz w:val="24"/>
          <w:szCs w:val="24"/>
        </w:rPr>
        <w:t xml:space="preserve"> А также Рене </w:t>
      </w:r>
      <w:proofErr w:type="spellStart"/>
      <w:r w:rsidR="00FF37BD" w:rsidRPr="00825570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="00FF37BD" w:rsidRPr="00825570">
        <w:rPr>
          <w:rFonts w:ascii="Times New Roman" w:hAnsi="Times New Roman" w:cs="Times New Roman"/>
          <w:sz w:val="24"/>
          <w:szCs w:val="24"/>
        </w:rPr>
        <w:t xml:space="preserve"> в своих работах</w:t>
      </w:r>
      <w:r w:rsidRPr="00825570">
        <w:rPr>
          <w:rFonts w:ascii="Times New Roman" w:hAnsi="Times New Roman" w:cs="Times New Roman"/>
          <w:sz w:val="24"/>
          <w:szCs w:val="24"/>
        </w:rPr>
        <w:t xml:space="preserve"> </w:t>
      </w:r>
      <w:r w:rsidR="00FF37BD" w:rsidRPr="00825570">
        <w:rPr>
          <w:rFonts w:ascii="Times New Roman" w:hAnsi="Times New Roman" w:cs="Times New Roman"/>
          <w:sz w:val="24"/>
          <w:szCs w:val="24"/>
        </w:rPr>
        <w:t>продемонстрировал</w:t>
      </w:r>
      <w:r w:rsidRPr="00825570">
        <w:rPr>
          <w:rFonts w:ascii="Times New Roman" w:hAnsi="Times New Roman" w:cs="Times New Roman"/>
          <w:sz w:val="24"/>
          <w:szCs w:val="24"/>
        </w:rPr>
        <w:t xml:space="preserve"> </w:t>
      </w:r>
      <w:r w:rsidR="00FF37BD" w:rsidRPr="00825570">
        <w:rPr>
          <w:rFonts w:ascii="Times New Roman" w:hAnsi="Times New Roman" w:cs="Times New Roman"/>
          <w:sz w:val="24"/>
          <w:szCs w:val="24"/>
        </w:rPr>
        <w:t>зарождение</w:t>
      </w:r>
      <w:r w:rsidRPr="00825570">
        <w:rPr>
          <w:rFonts w:ascii="Times New Roman" w:hAnsi="Times New Roman" w:cs="Times New Roman"/>
          <w:sz w:val="24"/>
          <w:szCs w:val="24"/>
        </w:rPr>
        <w:t xml:space="preserve"> ритуала</w:t>
      </w:r>
      <w:r w:rsidR="00FF37BD" w:rsidRPr="00825570">
        <w:rPr>
          <w:rFonts w:ascii="Times New Roman" w:hAnsi="Times New Roman" w:cs="Times New Roman"/>
          <w:sz w:val="24"/>
          <w:szCs w:val="24"/>
        </w:rPr>
        <w:t xml:space="preserve"> жертвоприношения и установил неразрывную связь между ритуалом жертвоприношения и нормальным существование общества.</w:t>
      </w:r>
    </w:p>
    <w:p w:rsidR="007321B4" w:rsidRPr="005F6FE5" w:rsidRDefault="005F6FE5" w:rsidP="005F6FE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</w:t>
      </w:r>
      <w:r w:rsidR="00DD3E16" w:rsidRPr="00DD3E16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7321B4" w:rsidRPr="007321B4" w:rsidRDefault="007321B4" w:rsidP="005F6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1B4">
        <w:rPr>
          <w:rFonts w:ascii="Times New Roman" w:hAnsi="Times New Roman" w:cs="Times New Roman"/>
          <w:sz w:val="24"/>
          <w:szCs w:val="24"/>
          <w:lang w:val="en-US"/>
        </w:rPr>
        <w:t xml:space="preserve">«Mimesis and Violence» in Girard and Williams, </w:t>
      </w:r>
      <w:proofErr w:type="gramStart"/>
      <w:r w:rsidRPr="007321B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321B4">
        <w:rPr>
          <w:rFonts w:ascii="Times New Roman" w:hAnsi="Times New Roman" w:cs="Times New Roman"/>
          <w:sz w:val="24"/>
          <w:szCs w:val="24"/>
          <w:lang w:val="en-US"/>
        </w:rPr>
        <w:t xml:space="preserve"> Girard Reader. – 2006. –</w:t>
      </w:r>
      <w:r w:rsidRPr="007321B4">
        <w:rPr>
          <w:rFonts w:ascii="Times New Roman" w:hAnsi="Times New Roman" w:cs="Times New Roman"/>
          <w:sz w:val="24"/>
          <w:szCs w:val="24"/>
        </w:rPr>
        <w:t>Р</w:t>
      </w:r>
      <w:r w:rsidRPr="007321B4">
        <w:rPr>
          <w:rFonts w:ascii="Times New Roman" w:hAnsi="Times New Roman" w:cs="Times New Roman"/>
          <w:sz w:val="24"/>
          <w:szCs w:val="24"/>
          <w:lang w:val="en-US"/>
        </w:rPr>
        <w:t>. 15.</w:t>
      </w:r>
    </w:p>
    <w:p w:rsidR="007321B4" w:rsidRPr="007321B4" w:rsidRDefault="007321B4" w:rsidP="005F6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1B4">
        <w:rPr>
          <w:rFonts w:ascii="Times New Roman" w:hAnsi="Times New Roman" w:cs="Times New Roman"/>
          <w:sz w:val="24"/>
          <w:szCs w:val="24"/>
          <w:lang w:val="en-US"/>
        </w:rPr>
        <w:t xml:space="preserve">Girard R. </w:t>
      </w:r>
      <w:proofErr w:type="gramStart"/>
      <w:r w:rsidRPr="007321B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7321B4">
        <w:rPr>
          <w:rFonts w:ascii="Times New Roman" w:hAnsi="Times New Roman" w:cs="Times New Roman"/>
          <w:sz w:val="24"/>
          <w:szCs w:val="24"/>
          <w:lang w:val="en-US"/>
        </w:rPr>
        <w:t xml:space="preserve"> le problem du Mal. Paris, 1982. </w:t>
      </w:r>
    </w:p>
    <w:p w:rsidR="007321B4" w:rsidRPr="007321B4" w:rsidRDefault="007321B4" w:rsidP="007321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321B4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5F6FE5">
        <w:rPr>
          <w:rFonts w:ascii="Times New Roman" w:hAnsi="Times New Roman" w:cs="Times New Roman"/>
          <w:sz w:val="24"/>
          <w:szCs w:val="24"/>
        </w:rPr>
        <w:t xml:space="preserve"> </w:t>
      </w:r>
      <w:r w:rsidRPr="007321B4">
        <w:rPr>
          <w:rFonts w:ascii="Times New Roman" w:hAnsi="Times New Roman" w:cs="Times New Roman"/>
          <w:sz w:val="24"/>
          <w:szCs w:val="24"/>
        </w:rPr>
        <w:t>Р</w:t>
      </w:r>
      <w:r w:rsidRPr="005F6FE5">
        <w:rPr>
          <w:rFonts w:ascii="Times New Roman" w:hAnsi="Times New Roman" w:cs="Times New Roman"/>
          <w:sz w:val="24"/>
          <w:szCs w:val="24"/>
        </w:rPr>
        <w:t xml:space="preserve">. </w:t>
      </w:r>
      <w:r w:rsidRPr="007321B4">
        <w:rPr>
          <w:rFonts w:ascii="Times New Roman" w:hAnsi="Times New Roman" w:cs="Times New Roman"/>
          <w:sz w:val="24"/>
          <w:szCs w:val="24"/>
        </w:rPr>
        <w:t>Козел</w:t>
      </w:r>
      <w:r w:rsidRPr="005F6FE5">
        <w:rPr>
          <w:rFonts w:ascii="Times New Roman" w:hAnsi="Times New Roman" w:cs="Times New Roman"/>
          <w:sz w:val="24"/>
          <w:szCs w:val="24"/>
        </w:rPr>
        <w:t xml:space="preserve"> </w:t>
      </w:r>
      <w:r w:rsidRPr="007321B4">
        <w:rPr>
          <w:rFonts w:ascii="Times New Roman" w:hAnsi="Times New Roman" w:cs="Times New Roman"/>
          <w:sz w:val="24"/>
          <w:szCs w:val="24"/>
        </w:rPr>
        <w:t>отпущения</w:t>
      </w:r>
      <w:r w:rsidRPr="005F6FE5">
        <w:rPr>
          <w:rFonts w:ascii="Times New Roman" w:hAnsi="Times New Roman" w:cs="Times New Roman"/>
          <w:sz w:val="24"/>
          <w:szCs w:val="24"/>
        </w:rPr>
        <w:t xml:space="preserve">. </w:t>
      </w:r>
      <w:r w:rsidRPr="007321B4">
        <w:rPr>
          <w:rFonts w:ascii="Times New Roman" w:hAnsi="Times New Roman" w:cs="Times New Roman"/>
          <w:sz w:val="24"/>
          <w:szCs w:val="24"/>
        </w:rPr>
        <w:t>СПб</w:t>
      </w:r>
      <w:r w:rsidRPr="005F6FE5">
        <w:rPr>
          <w:rFonts w:ascii="Times New Roman" w:hAnsi="Times New Roman" w:cs="Times New Roman"/>
          <w:sz w:val="24"/>
          <w:szCs w:val="24"/>
        </w:rPr>
        <w:t xml:space="preserve">.: </w:t>
      </w:r>
      <w:r w:rsidRPr="007321B4">
        <w:rPr>
          <w:rFonts w:ascii="Times New Roman" w:hAnsi="Times New Roman" w:cs="Times New Roman"/>
          <w:sz w:val="24"/>
          <w:szCs w:val="24"/>
        </w:rPr>
        <w:t xml:space="preserve">Издательство Ивана </w:t>
      </w:r>
      <w:proofErr w:type="spellStart"/>
      <w:r w:rsidRPr="007321B4">
        <w:rPr>
          <w:rFonts w:ascii="Times New Roman" w:hAnsi="Times New Roman" w:cs="Times New Roman"/>
          <w:sz w:val="24"/>
          <w:szCs w:val="24"/>
        </w:rPr>
        <w:t>Лимбаха</w:t>
      </w:r>
      <w:proofErr w:type="spellEnd"/>
      <w:r w:rsidRPr="007321B4">
        <w:rPr>
          <w:rFonts w:ascii="Times New Roman" w:hAnsi="Times New Roman" w:cs="Times New Roman"/>
          <w:sz w:val="24"/>
          <w:szCs w:val="24"/>
        </w:rPr>
        <w:t xml:space="preserve">, 2010. – 336 </w:t>
      </w:r>
      <w:proofErr w:type="gramStart"/>
      <w:r w:rsidRPr="007321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1B4" w:rsidRPr="007321B4" w:rsidRDefault="007321B4" w:rsidP="007321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1B4"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 w:rsidRPr="007321B4">
        <w:rPr>
          <w:rFonts w:ascii="Times New Roman" w:hAnsi="Times New Roman" w:cs="Times New Roman"/>
          <w:sz w:val="24"/>
          <w:szCs w:val="24"/>
        </w:rPr>
        <w:t xml:space="preserve"> Р. Насилие и священное. М., 2000. – С. 383.</w:t>
      </w:r>
    </w:p>
    <w:p w:rsidR="007321B4" w:rsidRPr="00DD3E16" w:rsidRDefault="007321B4" w:rsidP="00DD3E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21B4" w:rsidRPr="00DD3E16" w:rsidSect="008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6E4"/>
    <w:multiLevelType w:val="hybridMultilevel"/>
    <w:tmpl w:val="3344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4D40"/>
    <w:multiLevelType w:val="hybridMultilevel"/>
    <w:tmpl w:val="D6889984"/>
    <w:lvl w:ilvl="0" w:tplc="E0AA5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00219"/>
    <w:multiLevelType w:val="hybridMultilevel"/>
    <w:tmpl w:val="5FC0BEC2"/>
    <w:lvl w:ilvl="0" w:tplc="E0AA5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00"/>
    <w:rsid w:val="00363BA3"/>
    <w:rsid w:val="00576DCF"/>
    <w:rsid w:val="005F6FE5"/>
    <w:rsid w:val="00677F92"/>
    <w:rsid w:val="007321B4"/>
    <w:rsid w:val="00825570"/>
    <w:rsid w:val="008519AF"/>
    <w:rsid w:val="00855700"/>
    <w:rsid w:val="008E2F62"/>
    <w:rsid w:val="00962AE7"/>
    <w:rsid w:val="009940CE"/>
    <w:rsid w:val="00C62583"/>
    <w:rsid w:val="00DD3E16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AF"/>
  </w:style>
  <w:style w:type="paragraph" w:styleId="1">
    <w:name w:val="heading 1"/>
    <w:basedOn w:val="a"/>
    <w:next w:val="a"/>
    <w:link w:val="10"/>
    <w:autoRedefine/>
    <w:uiPriority w:val="9"/>
    <w:qFormat/>
    <w:rsid w:val="00C62583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363BA3"/>
    <w:pPr>
      <w:spacing w:before="240" w:after="60" w:line="240" w:lineRule="auto"/>
      <w:jc w:val="center"/>
      <w:outlineLvl w:val="5"/>
    </w:pPr>
    <w:rPr>
      <w:rFonts w:eastAsiaTheme="minorEastAsia"/>
      <w:b/>
      <w:bCs/>
      <w:sz w:val="28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C62583"/>
    <w:pPr>
      <w:spacing w:before="240" w:after="60" w:line="360" w:lineRule="auto"/>
      <w:ind w:firstLine="720"/>
      <w:jc w:val="center"/>
      <w:outlineLvl w:val="8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583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3BA3"/>
    <w:rPr>
      <w:rFonts w:eastAsiaTheme="minorEastAsia"/>
      <w:b/>
      <w:bCs/>
      <w:sz w:val="28"/>
    </w:rPr>
  </w:style>
  <w:style w:type="character" w:customStyle="1" w:styleId="90">
    <w:name w:val="Заголовок 9 Знак"/>
    <w:basedOn w:val="a0"/>
    <w:link w:val="9"/>
    <w:uiPriority w:val="9"/>
    <w:rsid w:val="00C62583"/>
    <w:rPr>
      <w:rFonts w:eastAsiaTheme="majorEastAsia" w:cstheme="majorBidi"/>
      <w:b/>
      <w:sz w:val="28"/>
    </w:rPr>
  </w:style>
  <w:style w:type="paragraph" w:styleId="a3">
    <w:name w:val="List Paragraph"/>
    <w:basedOn w:val="a"/>
    <w:uiPriority w:val="34"/>
    <w:qFormat/>
    <w:rsid w:val="00732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Клепцова</dc:creator>
  <cp:keywords/>
  <dc:description/>
  <cp:lastModifiedBy>User</cp:lastModifiedBy>
  <cp:revision>6</cp:revision>
  <dcterms:created xsi:type="dcterms:W3CDTF">2015-09-28T09:45:00Z</dcterms:created>
  <dcterms:modified xsi:type="dcterms:W3CDTF">2015-10-06T01:18:00Z</dcterms:modified>
</cp:coreProperties>
</file>