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04" w:rsidRDefault="00110E04" w:rsidP="00110E0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658.254</w:t>
      </w:r>
    </w:p>
    <w:p w:rsidR="00D833D0" w:rsidRDefault="00D833D0" w:rsidP="00D833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Пружинин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D833D0" w:rsidRDefault="00D833D0" w:rsidP="00D833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</w:t>
      </w:r>
    </w:p>
    <w:p w:rsidR="00D833D0" w:rsidRDefault="00D833D0" w:rsidP="00D833D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корпоративной социальной ответственности бизнеса в России</w:t>
      </w:r>
    </w:p>
    <w:p w:rsidR="00D833D0" w:rsidRDefault="00D833D0" w:rsidP="00D8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>
        <w:rPr>
          <w:rFonts w:ascii="Times New Roman" w:hAnsi="Times New Roman" w:cs="Times New Roman"/>
          <w:sz w:val="24"/>
          <w:szCs w:val="24"/>
        </w:rPr>
        <w:t>В статье рассматривается теоретические подходы к определению корпоративной социальной ответственности бизнеса, приводятся рейтинги некоммерческих отчетов крупных компаний, рассматриваются проблемы развития КСО в РФ.</w:t>
      </w:r>
    </w:p>
    <w:p w:rsidR="0082637C" w:rsidRPr="0082637C" w:rsidRDefault="0082637C" w:rsidP="00D833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ED6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ответственность, социальная ответственность бизнеса, концепции КСО</w:t>
      </w:r>
    </w:p>
    <w:p w:rsidR="00D833D0" w:rsidRDefault="00D833D0" w:rsidP="00D93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E04" w:rsidRPr="00110E04" w:rsidRDefault="00110E04" w:rsidP="00110E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10E04">
        <w:rPr>
          <w:rFonts w:ascii="Times New Roman" w:hAnsi="Times New Roman" w:cs="Times New Roman"/>
          <w:sz w:val="24"/>
          <w:szCs w:val="24"/>
          <w:lang w:val="en-US"/>
        </w:rPr>
        <w:t>Pruzhinin</w:t>
      </w:r>
      <w:proofErr w:type="spellEnd"/>
      <w:r w:rsidRPr="00110E04">
        <w:rPr>
          <w:rFonts w:ascii="Times New Roman" w:hAnsi="Times New Roman" w:cs="Times New Roman"/>
          <w:sz w:val="24"/>
          <w:szCs w:val="24"/>
          <w:lang w:val="en-US"/>
        </w:rPr>
        <w:t xml:space="preserve"> A.N.</w:t>
      </w:r>
    </w:p>
    <w:p w:rsidR="00110E04" w:rsidRPr="00110E04" w:rsidRDefault="00110E04" w:rsidP="00110E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10E04">
        <w:rPr>
          <w:rFonts w:ascii="Times New Roman" w:hAnsi="Times New Roman" w:cs="Times New Roman"/>
          <w:sz w:val="24"/>
          <w:szCs w:val="24"/>
          <w:lang w:val="en-US"/>
        </w:rPr>
        <w:t>Irkutsk</w:t>
      </w:r>
    </w:p>
    <w:p w:rsidR="00110E04" w:rsidRPr="00110E04" w:rsidRDefault="00110E04" w:rsidP="00110E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0E04">
        <w:rPr>
          <w:rFonts w:ascii="Times New Roman" w:hAnsi="Times New Roman" w:cs="Times New Roman"/>
          <w:b/>
          <w:sz w:val="24"/>
          <w:szCs w:val="24"/>
          <w:lang w:val="en-US"/>
        </w:rPr>
        <w:t>Development of corporate social responsibility of business in Russia</w:t>
      </w:r>
    </w:p>
    <w:p w:rsidR="00110E04" w:rsidRPr="00110E04" w:rsidRDefault="00110E04" w:rsidP="00110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10E04">
        <w:rPr>
          <w:rFonts w:ascii="Times New Roman" w:hAnsi="Times New Roman" w:cs="Times New Roman"/>
          <w:sz w:val="24"/>
          <w:szCs w:val="24"/>
          <w:lang w:val="en-US"/>
        </w:rPr>
        <w:t>Annotation.</w:t>
      </w:r>
      <w:proofErr w:type="gramEnd"/>
      <w:r w:rsidRPr="00110E04">
        <w:rPr>
          <w:rFonts w:ascii="Times New Roman" w:hAnsi="Times New Roman" w:cs="Times New Roman"/>
          <w:sz w:val="24"/>
          <w:szCs w:val="24"/>
          <w:lang w:val="en-US"/>
        </w:rPr>
        <w:t xml:space="preserve"> The article deals with theoretical approaches to the definition of corporate social responsibility of business, provides ratings of non-commercial reports of large companies, </w:t>
      </w:r>
      <w:proofErr w:type="gramStart"/>
      <w:r w:rsidRPr="00110E04">
        <w:rPr>
          <w:rFonts w:ascii="Times New Roman" w:hAnsi="Times New Roman" w:cs="Times New Roman"/>
          <w:sz w:val="24"/>
          <w:szCs w:val="24"/>
          <w:lang w:val="en-US"/>
        </w:rPr>
        <w:t>examines</w:t>
      </w:r>
      <w:proofErr w:type="gramEnd"/>
      <w:r w:rsidRPr="00110E04">
        <w:rPr>
          <w:rFonts w:ascii="Times New Roman" w:hAnsi="Times New Roman" w:cs="Times New Roman"/>
          <w:sz w:val="24"/>
          <w:szCs w:val="24"/>
          <w:lang w:val="en-US"/>
        </w:rPr>
        <w:t xml:space="preserve"> the problems of CSR development in the Russian Federation.</w:t>
      </w:r>
    </w:p>
    <w:p w:rsidR="00110E04" w:rsidRPr="00110E04" w:rsidRDefault="00110E04" w:rsidP="00110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0E04"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110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0E04">
        <w:rPr>
          <w:rFonts w:ascii="Times New Roman" w:hAnsi="Times New Roman" w:cs="Times New Roman"/>
          <w:sz w:val="24"/>
          <w:szCs w:val="24"/>
          <w:lang w:val="en-US"/>
        </w:rPr>
        <w:t>words: corporate social res</w:t>
      </w:r>
      <w:bookmarkStart w:id="0" w:name="_GoBack"/>
      <w:bookmarkEnd w:id="0"/>
      <w:r w:rsidRPr="00110E04">
        <w:rPr>
          <w:rFonts w:ascii="Times New Roman" w:hAnsi="Times New Roman" w:cs="Times New Roman"/>
          <w:sz w:val="24"/>
          <w:szCs w:val="24"/>
          <w:lang w:val="en-US"/>
        </w:rPr>
        <w:t>ponsibility, social responsibility of business, CSR concepts</w:t>
      </w:r>
    </w:p>
    <w:p w:rsidR="00110E04" w:rsidRPr="00110E04" w:rsidRDefault="00110E04" w:rsidP="00110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00E1" w:rsidRDefault="00D93D0A" w:rsidP="00110E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Концепции корпоративной социальной ответственности становятся актуальными для российского общества с переходом экономики РФ на рыночные рельсы. В капитализме государство не является единым собственником ресурсов её территории, существенная часть ответственности за развитие человеческого капитала и социокультурного воспроизводства в целом </w:t>
      </w:r>
      <w:r w:rsidR="0065282B">
        <w:rPr>
          <w:rFonts w:ascii="Times New Roman" w:hAnsi="Times New Roman" w:cs="Times New Roman"/>
          <w:sz w:val="24"/>
          <w:szCs w:val="24"/>
        </w:rPr>
        <w:t>должно взять</w:t>
      </w:r>
      <w:r>
        <w:rPr>
          <w:rFonts w:ascii="Times New Roman" w:hAnsi="Times New Roman" w:cs="Times New Roman"/>
          <w:sz w:val="24"/>
          <w:szCs w:val="24"/>
        </w:rPr>
        <w:t xml:space="preserve"> на себя предпринимательство</w:t>
      </w:r>
      <w:r w:rsidR="006528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на данный момент в РФ ещё окончательно </w:t>
      </w:r>
      <w:r w:rsidR="001A7138">
        <w:rPr>
          <w:rFonts w:ascii="Times New Roman" w:hAnsi="Times New Roman" w:cs="Times New Roman"/>
          <w:sz w:val="24"/>
          <w:szCs w:val="24"/>
        </w:rPr>
        <w:t>не определены</w:t>
      </w:r>
      <w:r>
        <w:rPr>
          <w:rFonts w:ascii="Times New Roman" w:hAnsi="Times New Roman" w:cs="Times New Roman"/>
          <w:sz w:val="24"/>
          <w:szCs w:val="24"/>
        </w:rPr>
        <w:t xml:space="preserve"> категории корпоративной социальной ответственности (КСО) и не сформированы механизмы реализации. Историч</w:t>
      </w:r>
      <w:r w:rsidR="00E225CB">
        <w:rPr>
          <w:rFonts w:ascii="Times New Roman" w:hAnsi="Times New Roman" w:cs="Times New Roman"/>
          <w:sz w:val="24"/>
          <w:szCs w:val="24"/>
        </w:rPr>
        <w:t>ески на нашей территории всегда были подобные механизмы: в дореволюционной России была развита благотворительная деятельность, в советском союзе подобны функции несли предприятия</w:t>
      </w:r>
      <w:r w:rsidR="0065282B">
        <w:rPr>
          <w:rFonts w:ascii="Times New Roman" w:hAnsi="Times New Roman" w:cs="Times New Roman"/>
          <w:sz w:val="24"/>
          <w:szCs w:val="24"/>
        </w:rPr>
        <w:t>.</w:t>
      </w:r>
      <w:r w:rsidR="00E225CB">
        <w:rPr>
          <w:rFonts w:ascii="Times New Roman" w:hAnsi="Times New Roman" w:cs="Times New Roman"/>
          <w:sz w:val="24"/>
          <w:szCs w:val="24"/>
        </w:rPr>
        <w:t xml:space="preserve"> </w:t>
      </w:r>
      <w:r w:rsidR="0065282B">
        <w:rPr>
          <w:rFonts w:ascii="Times New Roman" w:hAnsi="Times New Roman" w:cs="Times New Roman"/>
          <w:sz w:val="24"/>
          <w:szCs w:val="24"/>
        </w:rPr>
        <w:t>Н</w:t>
      </w:r>
      <w:r w:rsidR="00E225CB">
        <w:rPr>
          <w:rFonts w:ascii="Times New Roman" w:hAnsi="Times New Roman" w:cs="Times New Roman"/>
          <w:sz w:val="24"/>
          <w:szCs w:val="24"/>
        </w:rPr>
        <w:t xml:space="preserve">а сегодня в законодательной области государство «осталось» в социализме т.е. практически всю социальную сферу обеспечивает только оно, но как </w:t>
      </w:r>
      <w:r w:rsidR="001A7138">
        <w:rPr>
          <w:rFonts w:ascii="Times New Roman" w:hAnsi="Times New Roman" w:cs="Times New Roman"/>
          <w:sz w:val="24"/>
          <w:szCs w:val="24"/>
        </w:rPr>
        <w:t>было</w:t>
      </w:r>
      <w:r w:rsidR="00E225CB">
        <w:rPr>
          <w:rFonts w:ascii="Times New Roman" w:hAnsi="Times New Roman" w:cs="Times New Roman"/>
          <w:sz w:val="24"/>
          <w:szCs w:val="24"/>
        </w:rPr>
        <w:t xml:space="preserve"> сказано выше</w:t>
      </w:r>
      <w:r w:rsidR="001A7138">
        <w:rPr>
          <w:rFonts w:ascii="Times New Roman" w:hAnsi="Times New Roman" w:cs="Times New Roman"/>
          <w:sz w:val="24"/>
          <w:szCs w:val="24"/>
        </w:rPr>
        <w:t>,</w:t>
      </w:r>
      <w:r w:rsidR="00E225CB">
        <w:rPr>
          <w:rFonts w:ascii="Times New Roman" w:hAnsi="Times New Roman" w:cs="Times New Roman"/>
          <w:sz w:val="24"/>
          <w:szCs w:val="24"/>
        </w:rPr>
        <w:t xml:space="preserve"> не владея всеми ресурсами своей территории, которые на 49% находятся в «частных» руках.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EE">
        <w:rPr>
          <w:rFonts w:ascii="Times New Roman" w:hAnsi="Times New Roman" w:cs="Times New Roman"/>
          <w:sz w:val="24"/>
          <w:szCs w:val="24"/>
        </w:rPr>
        <w:t>Следовательно,</w:t>
      </w:r>
      <w:r w:rsidR="00E225CB">
        <w:rPr>
          <w:rFonts w:ascii="Times New Roman" w:hAnsi="Times New Roman" w:cs="Times New Roman"/>
          <w:sz w:val="24"/>
          <w:szCs w:val="24"/>
        </w:rPr>
        <w:t xml:space="preserve"> встает необходимость в формировании новых </w:t>
      </w:r>
      <w:r w:rsidR="00093DEE">
        <w:rPr>
          <w:rFonts w:ascii="Times New Roman" w:hAnsi="Times New Roman" w:cs="Times New Roman"/>
          <w:sz w:val="24"/>
          <w:szCs w:val="24"/>
        </w:rPr>
        <w:t xml:space="preserve">механизмов управления социальной ответственности </w:t>
      </w:r>
      <w:r w:rsidR="006E68C4">
        <w:rPr>
          <w:rFonts w:ascii="Times New Roman" w:hAnsi="Times New Roman" w:cs="Times New Roman"/>
          <w:sz w:val="24"/>
          <w:szCs w:val="24"/>
        </w:rPr>
        <w:t>бизнеса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95972404"/>
      <w:r w:rsidR="003600E1" w:rsidRPr="003600E1">
        <w:rPr>
          <w:rFonts w:ascii="Times New Roman" w:hAnsi="Times New Roman" w:cs="Times New Roman"/>
          <w:sz w:val="24"/>
          <w:szCs w:val="24"/>
        </w:rPr>
        <w:t>[</w:t>
      </w:r>
      <w:r w:rsidR="003600E1">
        <w:rPr>
          <w:rFonts w:ascii="Times New Roman" w:hAnsi="Times New Roman" w:cs="Times New Roman"/>
          <w:sz w:val="24"/>
          <w:szCs w:val="24"/>
        </w:rPr>
        <w:t>1</w:t>
      </w:r>
      <w:r w:rsidR="003600E1" w:rsidRPr="003600E1">
        <w:rPr>
          <w:rFonts w:ascii="Times New Roman" w:hAnsi="Times New Roman" w:cs="Times New Roman"/>
          <w:sz w:val="24"/>
          <w:szCs w:val="24"/>
        </w:rPr>
        <w:t>]</w:t>
      </w:r>
      <w:r w:rsidR="006E68C4">
        <w:rPr>
          <w:rFonts w:ascii="Times New Roman" w:hAnsi="Times New Roman" w:cs="Times New Roman"/>
          <w:sz w:val="24"/>
          <w:szCs w:val="24"/>
        </w:rPr>
        <w:t>.</w:t>
      </w:r>
      <w:r w:rsidR="006E68C4" w:rsidRPr="006E68C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:rsidR="00E225CB" w:rsidRDefault="00E225CB" w:rsidP="00D93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странах запада за несколько веков рыночной экономики категория КСО основательно определена и закреплена законодательно. </w:t>
      </w:r>
      <w:r w:rsidR="00093DEE">
        <w:rPr>
          <w:rFonts w:ascii="Times New Roman" w:hAnsi="Times New Roman" w:cs="Times New Roman"/>
          <w:sz w:val="24"/>
          <w:szCs w:val="24"/>
        </w:rPr>
        <w:t xml:space="preserve">Как правило в странах развитого капитализма КСО обязательна для компаний и включает в себя программы по улучшению </w:t>
      </w:r>
      <w:r w:rsidR="00093DEE">
        <w:rPr>
          <w:rFonts w:ascii="Times New Roman" w:hAnsi="Times New Roman" w:cs="Times New Roman"/>
          <w:sz w:val="24"/>
          <w:szCs w:val="24"/>
        </w:rPr>
        <w:lastRenderedPageBreak/>
        <w:t>экологического состояния окружающей среды, промышленной безопасности, спонсирования научных исследований, поддержку культуры</w:t>
      </w:r>
      <w:r w:rsidR="0065282B">
        <w:rPr>
          <w:rFonts w:ascii="Times New Roman" w:hAnsi="Times New Roman" w:cs="Times New Roman"/>
          <w:sz w:val="24"/>
          <w:szCs w:val="24"/>
        </w:rPr>
        <w:t>, науки, спорта</w:t>
      </w:r>
      <w:r w:rsidR="00093DEE">
        <w:rPr>
          <w:rFonts w:ascii="Times New Roman" w:hAnsi="Times New Roman" w:cs="Times New Roman"/>
          <w:sz w:val="24"/>
          <w:szCs w:val="24"/>
        </w:rPr>
        <w:t xml:space="preserve"> и др. А также спонсируются направления, не относящиеся на прямую к сфере деятельности бизнеса. В странах «молодого </w:t>
      </w:r>
      <w:r w:rsidR="00295094">
        <w:rPr>
          <w:rFonts w:ascii="Times New Roman" w:hAnsi="Times New Roman" w:cs="Times New Roman"/>
          <w:sz w:val="24"/>
          <w:szCs w:val="24"/>
        </w:rPr>
        <w:t>капитализма» к</w:t>
      </w:r>
      <w:r w:rsidR="00D16E25">
        <w:rPr>
          <w:rFonts w:ascii="Times New Roman" w:hAnsi="Times New Roman" w:cs="Times New Roman"/>
          <w:sz w:val="24"/>
          <w:szCs w:val="24"/>
        </w:rPr>
        <w:t xml:space="preserve"> кото</w:t>
      </w:r>
      <w:r w:rsidR="00295094">
        <w:rPr>
          <w:rFonts w:ascii="Times New Roman" w:hAnsi="Times New Roman" w:cs="Times New Roman"/>
          <w:sz w:val="24"/>
          <w:szCs w:val="24"/>
        </w:rPr>
        <w:t>рым</w:t>
      </w:r>
      <w:r w:rsidR="00D16E25">
        <w:rPr>
          <w:rFonts w:ascii="Times New Roman" w:hAnsi="Times New Roman" w:cs="Times New Roman"/>
          <w:sz w:val="24"/>
          <w:szCs w:val="24"/>
        </w:rPr>
        <w:t xml:space="preserve"> можно отнести </w:t>
      </w:r>
      <w:r w:rsidR="00093DEE">
        <w:rPr>
          <w:rFonts w:ascii="Times New Roman" w:hAnsi="Times New Roman" w:cs="Times New Roman"/>
          <w:sz w:val="24"/>
          <w:szCs w:val="24"/>
        </w:rPr>
        <w:t>Росси</w:t>
      </w:r>
      <w:r w:rsidR="00D16E25">
        <w:rPr>
          <w:rFonts w:ascii="Times New Roman" w:hAnsi="Times New Roman" w:cs="Times New Roman"/>
          <w:sz w:val="24"/>
          <w:szCs w:val="24"/>
        </w:rPr>
        <w:t>ю</w:t>
      </w:r>
      <w:r w:rsidR="00093DEE">
        <w:rPr>
          <w:rFonts w:ascii="Times New Roman" w:hAnsi="Times New Roman" w:cs="Times New Roman"/>
          <w:sz w:val="24"/>
          <w:szCs w:val="24"/>
        </w:rPr>
        <w:t xml:space="preserve"> и Китай КСО чаще определяется, как своевременные выплаты заработной платы, </w:t>
      </w:r>
      <w:r w:rsidR="00093DEE" w:rsidRPr="003600E1">
        <w:rPr>
          <w:rFonts w:ascii="Times New Roman" w:hAnsi="Times New Roman" w:cs="Times New Roman"/>
          <w:sz w:val="24"/>
          <w:szCs w:val="24"/>
        </w:rPr>
        <w:t>уплата</w:t>
      </w:r>
      <w:r w:rsidR="00093DEE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A610FE">
        <w:rPr>
          <w:rFonts w:ascii="Times New Roman" w:hAnsi="Times New Roman" w:cs="Times New Roman"/>
          <w:sz w:val="24"/>
          <w:szCs w:val="24"/>
        </w:rPr>
        <w:t>, а поддержка социальной сферы, культуры и науки и</w:t>
      </w:r>
      <w:proofErr w:type="gramStart"/>
      <w:r w:rsidR="00A610F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610FE">
        <w:rPr>
          <w:rFonts w:ascii="Times New Roman" w:hAnsi="Times New Roman" w:cs="Times New Roman"/>
          <w:sz w:val="24"/>
          <w:szCs w:val="24"/>
        </w:rPr>
        <w:t>т.д. относится населением РФ  к обязанностям государства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  <w:r w:rsidR="003600E1" w:rsidRPr="003600E1">
        <w:rPr>
          <w:rFonts w:ascii="Times New Roman" w:hAnsi="Times New Roman" w:cs="Times New Roman"/>
          <w:sz w:val="24"/>
          <w:szCs w:val="24"/>
        </w:rPr>
        <w:t>[</w:t>
      </w:r>
      <w:r w:rsidR="003600E1">
        <w:rPr>
          <w:rFonts w:ascii="Times New Roman" w:hAnsi="Times New Roman" w:cs="Times New Roman"/>
          <w:sz w:val="24"/>
          <w:szCs w:val="24"/>
        </w:rPr>
        <w:t>2</w:t>
      </w:r>
      <w:r w:rsidR="003600E1" w:rsidRPr="003600E1">
        <w:rPr>
          <w:rFonts w:ascii="Times New Roman" w:hAnsi="Times New Roman" w:cs="Times New Roman"/>
          <w:sz w:val="24"/>
          <w:szCs w:val="24"/>
        </w:rPr>
        <w:t>]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  <w:r w:rsidR="00A610FE">
        <w:rPr>
          <w:rFonts w:ascii="Times New Roman" w:hAnsi="Times New Roman" w:cs="Times New Roman"/>
          <w:sz w:val="24"/>
          <w:szCs w:val="24"/>
        </w:rPr>
        <w:t>.</w:t>
      </w:r>
    </w:p>
    <w:p w:rsidR="001A7138" w:rsidRDefault="001A7138" w:rsidP="00D93D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 социальной ответственности бизнеса рассматривается в работах: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Э.Тоффлера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Ф.Фукуямы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Г.Боуэна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определению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Г.Боуэна</w:t>
      </w:r>
      <w:proofErr w:type="spellEnd"/>
      <w:r w:rsidR="00A610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0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КСО это</w:t>
      </w:r>
      <w:r w:rsidR="007E1FF0">
        <w:rPr>
          <w:rFonts w:ascii="Times New Roman" w:hAnsi="Times New Roman" w:cs="Times New Roman"/>
          <w:sz w:val="24"/>
          <w:szCs w:val="24"/>
        </w:rPr>
        <w:t xml:space="preserve"> такая политика и управленческие решения менеджеров, которые </w:t>
      </w:r>
      <w:r w:rsidR="004A3AFB">
        <w:rPr>
          <w:rFonts w:ascii="Times New Roman" w:hAnsi="Times New Roman" w:cs="Times New Roman"/>
          <w:sz w:val="24"/>
          <w:szCs w:val="24"/>
        </w:rPr>
        <w:t>в наибольшей степени соответствуют ожиданиям и ценностям общества. Чтобы эти принципы были нормой, менеджеры должны понимать, что</w:t>
      </w:r>
      <w:r w:rsidR="00E91891">
        <w:rPr>
          <w:rFonts w:ascii="Times New Roman" w:hAnsi="Times New Roman" w:cs="Times New Roman"/>
          <w:sz w:val="24"/>
          <w:szCs w:val="24"/>
        </w:rPr>
        <w:t xml:space="preserve"> устойчивость бизнеса и его будущее зависит от стабильности развития общества, лояльности властей, благоприятного имиджа в глазах населения</w:t>
      </w:r>
      <w:r w:rsidR="00A610FE">
        <w:rPr>
          <w:rFonts w:ascii="Times New Roman" w:hAnsi="Times New Roman" w:cs="Times New Roman"/>
          <w:sz w:val="24"/>
          <w:szCs w:val="24"/>
        </w:rPr>
        <w:t>»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  <w:r w:rsidR="003600E1" w:rsidRPr="003600E1">
        <w:rPr>
          <w:rFonts w:ascii="Times New Roman" w:hAnsi="Times New Roman" w:cs="Times New Roman"/>
          <w:sz w:val="24"/>
          <w:szCs w:val="24"/>
        </w:rPr>
        <w:t>[</w:t>
      </w:r>
      <w:r w:rsidR="003600E1">
        <w:rPr>
          <w:rFonts w:ascii="Times New Roman" w:hAnsi="Times New Roman" w:cs="Times New Roman"/>
          <w:sz w:val="24"/>
          <w:szCs w:val="24"/>
        </w:rPr>
        <w:t>3</w:t>
      </w:r>
      <w:r w:rsidR="003600E1" w:rsidRPr="003600E1">
        <w:rPr>
          <w:rFonts w:ascii="Times New Roman" w:hAnsi="Times New Roman" w:cs="Times New Roman"/>
          <w:sz w:val="24"/>
          <w:szCs w:val="24"/>
        </w:rPr>
        <w:t>]</w:t>
      </w:r>
      <w:r w:rsidR="00E91891">
        <w:rPr>
          <w:rFonts w:ascii="Times New Roman" w:hAnsi="Times New Roman" w:cs="Times New Roman"/>
          <w:sz w:val="24"/>
          <w:szCs w:val="24"/>
        </w:rPr>
        <w:t xml:space="preserve">. Подобный термит согласуется с концепцией «разумного эгоизма», который говорит о том, что благотворительность вообще неуместна для бизнеса, и своей социальной нагрузкой компании должны обеспечивать себе долгосрочные условия для успешной конкуренции на рынке. Противоположный подход говорит о том, что КСО является этической нормой для бизнеса и содержит в </w:t>
      </w:r>
      <w:r w:rsidR="00174767">
        <w:rPr>
          <w:rFonts w:ascii="Times New Roman" w:hAnsi="Times New Roman" w:cs="Times New Roman"/>
          <w:sz w:val="24"/>
          <w:szCs w:val="24"/>
        </w:rPr>
        <w:t xml:space="preserve">себе свободный </w:t>
      </w:r>
      <w:proofErr w:type="spellStart"/>
      <w:r w:rsidR="00E91891">
        <w:rPr>
          <w:rFonts w:ascii="Times New Roman" w:hAnsi="Times New Roman" w:cs="Times New Roman"/>
          <w:sz w:val="24"/>
          <w:szCs w:val="24"/>
        </w:rPr>
        <w:t>альтуизм</w:t>
      </w:r>
      <w:proofErr w:type="spellEnd"/>
      <w:r w:rsidR="00E91891">
        <w:rPr>
          <w:rFonts w:ascii="Times New Roman" w:hAnsi="Times New Roman" w:cs="Times New Roman"/>
          <w:sz w:val="24"/>
          <w:szCs w:val="24"/>
        </w:rPr>
        <w:t>.</w:t>
      </w:r>
      <w:r w:rsidR="00174767">
        <w:rPr>
          <w:rFonts w:ascii="Times New Roman" w:hAnsi="Times New Roman" w:cs="Times New Roman"/>
          <w:sz w:val="24"/>
          <w:szCs w:val="24"/>
        </w:rPr>
        <w:t xml:space="preserve"> </w:t>
      </w:r>
      <w:r w:rsidR="00E91891">
        <w:rPr>
          <w:rFonts w:ascii="Times New Roman" w:hAnsi="Times New Roman" w:cs="Times New Roman"/>
          <w:sz w:val="24"/>
          <w:szCs w:val="24"/>
        </w:rPr>
        <w:t xml:space="preserve">Следует заметить, </w:t>
      </w:r>
      <w:r w:rsidR="00174767">
        <w:rPr>
          <w:rFonts w:ascii="Times New Roman" w:hAnsi="Times New Roman" w:cs="Times New Roman"/>
          <w:sz w:val="24"/>
          <w:szCs w:val="24"/>
        </w:rPr>
        <w:t>что в</w:t>
      </w:r>
      <w:r w:rsidR="00E91891">
        <w:rPr>
          <w:rFonts w:ascii="Times New Roman" w:hAnsi="Times New Roman" w:cs="Times New Roman"/>
          <w:sz w:val="24"/>
          <w:szCs w:val="24"/>
        </w:rPr>
        <w:t xml:space="preserve"> зависимости культурных особенностей страны, её специфики «проблемных зон</w:t>
      </w:r>
      <w:r w:rsidR="00A610FE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E91891">
        <w:rPr>
          <w:rFonts w:ascii="Times New Roman" w:hAnsi="Times New Roman" w:cs="Times New Roman"/>
          <w:sz w:val="24"/>
          <w:szCs w:val="24"/>
        </w:rPr>
        <w:t xml:space="preserve">» и устойчивости экономических и политических условий реализация и приоритеты направления КСО будут варьироваться. </w:t>
      </w:r>
      <w:r w:rsidR="00174767">
        <w:rPr>
          <w:rFonts w:ascii="Times New Roman" w:hAnsi="Times New Roman" w:cs="Times New Roman"/>
          <w:sz w:val="24"/>
          <w:szCs w:val="24"/>
        </w:rPr>
        <w:t xml:space="preserve">Можно предположить, что в альтруистической концепции КСО компании будет направлено преобладающим образом во внешнею среду, когда подход разумного эгоизма скорее будет включать в себя и направленность на саму компанию: образование собственных кадров и повышение их квалификации, повышения уровня социальных льгот и т.п.  </w:t>
      </w:r>
      <w:r w:rsidR="0046280B">
        <w:rPr>
          <w:rFonts w:ascii="Times New Roman" w:hAnsi="Times New Roman" w:cs="Times New Roman"/>
          <w:sz w:val="24"/>
          <w:szCs w:val="24"/>
        </w:rPr>
        <w:t xml:space="preserve">Ещё одним наиболее ёмким и распространённым определением КСО является формулировка американского объединения корпораций </w:t>
      </w:r>
      <w:r w:rsidR="0046280B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46280B" w:rsidRPr="0046280B">
        <w:rPr>
          <w:rFonts w:ascii="Times New Roman" w:hAnsi="Times New Roman" w:cs="Times New Roman"/>
          <w:sz w:val="24"/>
          <w:szCs w:val="24"/>
        </w:rPr>
        <w:t xml:space="preserve"> </w:t>
      </w:r>
      <w:r w:rsidR="0046280B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6280B" w:rsidRPr="0046280B">
        <w:rPr>
          <w:rFonts w:ascii="Times New Roman" w:hAnsi="Times New Roman" w:cs="Times New Roman"/>
          <w:sz w:val="24"/>
          <w:szCs w:val="24"/>
        </w:rPr>
        <w:t xml:space="preserve"> </w:t>
      </w:r>
      <w:r w:rsidR="0046280B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46280B" w:rsidRPr="0046280B">
        <w:rPr>
          <w:rFonts w:ascii="Times New Roman" w:hAnsi="Times New Roman" w:cs="Times New Roman"/>
          <w:sz w:val="24"/>
          <w:szCs w:val="24"/>
        </w:rPr>
        <w:t xml:space="preserve"> </w:t>
      </w:r>
      <w:r w:rsidR="0046280B">
        <w:rPr>
          <w:rFonts w:ascii="Times New Roman" w:hAnsi="Times New Roman" w:cs="Times New Roman"/>
          <w:sz w:val="24"/>
          <w:szCs w:val="24"/>
          <w:lang w:val="en-US"/>
        </w:rPr>
        <w:t>responsibility</w:t>
      </w:r>
      <w:r w:rsidR="0046280B" w:rsidRPr="0046280B">
        <w:rPr>
          <w:rFonts w:ascii="Times New Roman" w:hAnsi="Times New Roman" w:cs="Times New Roman"/>
          <w:sz w:val="24"/>
          <w:szCs w:val="24"/>
        </w:rPr>
        <w:t xml:space="preserve"> </w:t>
      </w:r>
      <w:r w:rsidR="0046280B">
        <w:rPr>
          <w:rFonts w:ascii="Times New Roman" w:hAnsi="Times New Roman" w:cs="Times New Roman"/>
          <w:sz w:val="24"/>
          <w:szCs w:val="24"/>
        </w:rPr>
        <w:t>«корпоративная социальная ответственность- это достижения коммерческого успеха путями, которые основаны на этических нормах и уважении к людям, сообществам, окружающей среде». Таким образом получается</w:t>
      </w:r>
      <w:r w:rsidR="0032096A">
        <w:rPr>
          <w:rFonts w:ascii="Times New Roman" w:hAnsi="Times New Roman" w:cs="Times New Roman"/>
          <w:sz w:val="24"/>
          <w:szCs w:val="24"/>
        </w:rPr>
        <w:t xml:space="preserve">, что КСО может иметь множество направлений необходимых для социокультурного воспроизводства, не связанных напрямую с деятельностью бизнеса, либо вестись в рамках «первоначальной социальной </w:t>
      </w:r>
      <w:r w:rsidR="00DA2812">
        <w:rPr>
          <w:rFonts w:ascii="Times New Roman" w:hAnsi="Times New Roman" w:cs="Times New Roman"/>
          <w:sz w:val="24"/>
          <w:szCs w:val="24"/>
        </w:rPr>
        <w:t>ответственности» достойный</w:t>
      </w:r>
      <w:r w:rsidR="0032096A">
        <w:rPr>
          <w:rFonts w:ascii="Times New Roman" w:hAnsi="Times New Roman" w:cs="Times New Roman"/>
          <w:sz w:val="24"/>
          <w:szCs w:val="24"/>
        </w:rPr>
        <w:t xml:space="preserve"> уровень заработных плат, социальные гарантии работникам, безопасность их рабочих мест и неуклоннее от налогов. Причинами могут быть желание нести </w:t>
      </w:r>
      <w:r w:rsidR="00C04008">
        <w:rPr>
          <w:rFonts w:ascii="Times New Roman" w:hAnsi="Times New Roman" w:cs="Times New Roman"/>
          <w:sz w:val="24"/>
          <w:szCs w:val="24"/>
        </w:rPr>
        <w:t>пользу</w:t>
      </w:r>
      <w:r w:rsidR="0032096A">
        <w:rPr>
          <w:rFonts w:ascii="Times New Roman" w:hAnsi="Times New Roman" w:cs="Times New Roman"/>
          <w:sz w:val="24"/>
          <w:szCs w:val="24"/>
        </w:rPr>
        <w:t xml:space="preserve"> и помогать людям, либо же создание положительного имиджа в глазах населения, обеспечение своей конкурентоспособности, например, через сотрудничество с образовательными организациями – их спонсорство и «формирование специалистов под </w:t>
      </w:r>
      <w:r w:rsidR="0032096A">
        <w:rPr>
          <w:rFonts w:ascii="Times New Roman" w:hAnsi="Times New Roman" w:cs="Times New Roman"/>
          <w:sz w:val="24"/>
          <w:szCs w:val="24"/>
        </w:rPr>
        <w:lastRenderedPageBreak/>
        <w:t xml:space="preserve">заказ», заточенных на решение задач в определенной области </w:t>
      </w:r>
      <w:proofErr w:type="spellStart"/>
      <w:r w:rsidR="0032096A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="0032096A">
        <w:rPr>
          <w:rFonts w:ascii="Times New Roman" w:hAnsi="Times New Roman" w:cs="Times New Roman"/>
          <w:sz w:val="24"/>
          <w:szCs w:val="24"/>
        </w:rPr>
        <w:t xml:space="preserve">.  Все это будет зависеть от ресурса компании и развитости рынка, устойчивости развития предприятия, причинами КСО и благотворительности также может быть давление местных властей «за право реализовывать свою деятельность» с чем очень часто сталкиваются </w:t>
      </w:r>
      <w:r w:rsidR="00DA2812">
        <w:rPr>
          <w:rFonts w:ascii="Times New Roman" w:hAnsi="Times New Roman" w:cs="Times New Roman"/>
          <w:sz w:val="24"/>
          <w:szCs w:val="24"/>
        </w:rPr>
        <w:t xml:space="preserve">нефтегазовые компании. Так или иначе, можно сказать, что в общей сложности причины КСО и благотворительности, будь они эгоистические – все равно будут создавать хоть какие-то благоприятные условия для развития человеческого капитала, если же это причины альтруистические, то они также будут благоприятно сказываться на развитии человеческого капитала. Границы данных причин КСО достаточно условны, и во многом будут зависеть от внешних факторов рынка о которых было сказано выше, а также от культурных особенностей страны. Но существуют единые условия существования системы КСО, которые характерны для любой страны и Россия в этом плане не исключение. </w:t>
      </w:r>
    </w:p>
    <w:p w:rsidR="00DA2812" w:rsidRDefault="00DA2812" w:rsidP="00DA28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корпоративного управления</w:t>
      </w:r>
      <w:r w:rsidR="00581EA6">
        <w:rPr>
          <w:rFonts w:ascii="Times New Roman" w:hAnsi="Times New Roman" w:cs="Times New Roman"/>
          <w:sz w:val="24"/>
          <w:szCs w:val="24"/>
        </w:rPr>
        <w:t>, который говорит о корпоративном управлении компанией и обществом в целом. Но в сущности в данном случае здесь говориться о балансе интересов акционеров, менеджеров и отдельных групп.</w:t>
      </w:r>
    </w:p>
    <w:p w:rsidR="00581EA6" w:rsidRDefault="008575A8" w:rsidP="00DA28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социальной ответственности перед персоналом, которая необходима по дву</w:t>
      </w:r>
      <w:r w:rsidR="00250F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основным причинам:</w:t>
      </w:r>
      <w:r w:rsidR="00250F8B">
        <w:rPr>
          <w:rFonts w:ascii="Times New Roman" w:hAnsi="Times New Roman" w:cs="Times New Roman"/>
          <w:sz w:val="24"/>
          <w:szCs w:val="24"/>
        </w:rPr>
        <w:t xml:space="preserve"> экономической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B5B">
        <w:rPr>
          <w:rFonts w:ascii="Times New Roman" w:hAnsi="Times New Roman" w:cs="Times New Roman"/>
          <w:sz w:val="24"/>
          <w:szCs w:val="24"/>
        </w:rPr>
        <w:t xml:space="preserve">работник, ощущающий заботу работодателя </w:t>
      </w:r>
      <w:r w:rsidR="00250F8B">
        <w:rPr>
          <w:rFonts w:ascii="Times New Roman" w:hAnsi="Times New Roman" w:cs="Times New Roman"/>
          <w:sz w:val="24"/>
          <w:szCs w:val="24"/>
        </w:rPr>
        <w:t xml:space="preserve">и обеспеченность социальными гарантиями имеет более высокую производительность на работе, и этической – </w:t>
      </w:r>
      <w:r w:rsidR="002A663A">
        <w:rPr>
          <w:rFonts w:ascii="Times New Roman" w:hAnsi="Times New Roman" w:cs="Times New Roman"/>
          <w:sz w:val="24"/>
          <w:szCs w:val="24"/>
        </w:rPr>
        <w:t>люди, вкладывающие усилия в развитие компаний имеют право на разделение благ, получаемых в результате.</w:t>
      </w:r>
    </w:p>
    <w:p w:rsidR="002A663A" w:rsidRDefault="002A663A" w:rsidP="00DA28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перед своими потребителями и клиентами. Социальная ответственность предполагает соблюдение прав потребителя на качественную продукцию и достаточную информацию о ней. </w:t>
      </w:r>
    </w:p>
    <w:p w:rsidR="002A663A" w:rsidRDefault="002A663A" w:rsidP="00DA28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на длительные </w:t>
      </w:r>
      <w:r w:rsidR="00113E0C">
        <w:rPr>
          <w:rFonts w:ascii="Times New Roman" w:hAnsi="Times New Roman" w:cs="Times New Roman"/>
          <w:sz w:val="24"/>
          <w:szCs w:val="24"/>
        </w:rPr>
        <w:t>отношения с</w:t>
      </w:r>
      <w:r>
        <w:rPr>
          <w:rFonts w:ascii="Times New Roman" w:hAnsi="Times New Roman" w:cs="Times New Roman"/>
          <w:sz w:val="24"/>
          <w:szCs w:val="24"/>
        </w:rPr>
        <w:t xml:space="preserve"> партнерами. Т большинство </w:t>
      </w:r>
      <w:r w:rsidR="00113E0C">
        <w:rPr>
          <w:rFonts w:ascii="Times New Roman" w:hAnsi="Times New Roman" w:cs="Times New Roman"/>
          <w:sz w:val="24"/>
          <w:szCs w:val="24"/>
        </w:rPr>
        <w:t>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компаний в процессе создания своего продукта сотрудничают с рядом других фирм</w:t>
      </w:r>
      <w:r w:rsidR="00113E0C">
        <w:rPr>
          <w:rFonts w:ascii="Times New Roman" w:hAnsi="Times New Roman" w:cs="Times New Roman"/>
          <w:sz w:val="24"/>
          <w:szCs w:val="24"/>
        </w:rPr>
        <w:t xml:space="preserve">, носящих в большинстве своем «вспомогательные» функции: рекламные агентства, транспортные услуги, услуги аудиторских, клининговых и </w:t>
      </w:r>
      <w:r w:rsidR="00D16E25">
        <w:rPr>
          <w:rFonts w:ascii="Times New Roman" w:hAnsi="Times New Roman" w:cs="Times New Roman"/>
          <w:sz w:val="24"/>
          <w:szCs w:val="24"/>
        </w:rPr>
        <w:t>др.</w:t>
      </w:r>
      <w:r w:rsidR="00113E0C">
        <w:rPr>
          <w:rFonts w:ascii="Times New Roman" w:hAnsi="Times New Roman" w:cs="Times New Roman"/>
          <w:sz w:val="24"/>
          <w:szCs w:val="24"/>
        </w:rPr>
        <w:t xml:space="preserve"> компаний. То подобные взаимоотношения желательно видеть стабильными и качественными, чтобы иметь повышенные гарантии в результатах, гарантиях и как следствие доходах и социальных благах.</w:t>
      </w:r>
    </w:p>
    <w:p w:rsidR="00113E0C" w:rsidRDefault="00113E0C" w:rsidP="00DA28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8E4AAA">
        <w:rPr>
          <w:rFonts w:ascii="Times New Roman" w:hAnsi="Times New Roman" w:cs="Times New Roman"/>
          <w:sz w:val="24"/>
          <w:szCs w:val="24"/>
        </w:rPr>
        <w:t xml:space="preserve"> - реализуемая в обществе</w:t>
      </w:r>
      <w:r w:rsidR="00E1232B">
        <w:rPr>
          <w:rFonts w:ascii="Times New Roman" w:hAnsi="Times New Roman" w:cs="Times New Roman"/>
          <w:sz w:val="24"/>
          <w:szCs w:val="24"/>
        </w:rPr>
        <w:t>, составляет большую ценность для всех КСО компании, т.к. её внешняя реализация интересна СМИ и создает благоприятный имидж для компаний в глазах населения, формирует лояльность властей.</w:t>
      </w:r>
    </w:p>
    <w:p w:rsidR="00E1232B" w:rsidRDefault="00E1232B" w:rsidP="003600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Охрана окружающей среды- в большинстве стран к этому направлению, либо призываются все компании, либо обязываются участвовать в улучшении экологической обстановк</w:t>
      </w:r>
      <w:r w:rsidR="00D16E25">
        <w:rPr>
          <w:rFonts w:ascii="Times New Roman" w:hAnsi="Times New Roman" w:cs="Times New Roman"/>
          <w:sz w:val="24"/>
          <w:szCs w:val="24"/>
        </w:rPr>
        <w:t>и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  <w:r w:rsidR="003600E1" w:rsidRPr="003600E1">
        <w:rPr>
          <w:rFonts w:ascii="Times New Roman" w:hAnsi="Times New Roman" w:cs="Times New Roman"/>
          <w:sz w:val="24"/>
          <w:szCs w:val="24"/>
        </w:rPr>
        <w:t>[</w:t>
      </w:r>
      <w:r w:rsidR="003600E1">
        <w:rPr>
          <w:rFonts w:ascii="Times New Roman" w:hAnsi="Times New Roman" w:cs="Times New Roman"/>
          <w:sz w:val="24"/>
          <w:szCs w:val="24"/>
        </w:rPr>
        <w:t>4</w:t>
      </w:r>
      <w:r w:rsidR="003600E1" w:rsidRPr="003600E1">
        <w:rPr>
          <w:rFonts w:ascii="Times New Roman" w:hAnsi="Times New Roman" w:cs="Times New Roman"/>
          <w:sz w:val="24"/>
          <w:szCs w:val="24"/>
        </w:rPr>
        <w:t>]</w:t>
      </w:r>
      <w:r w:rsidR="00D16E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80C" w:rsidRDefault="008E2682" w:rsidP="003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3DB">
        <w:rPr>
          <w:rFonts w:ascii="Times New Roman" w:hAnsi="Times New Roman" w:cs="Times New Roman"/>
          <w:sz w:val="24"/>
          <w:szCs w:val="24"/>
        </w:rPr>
        <w:t xml:space="preserve">В 2002 году компании «Газпром», «Рязанская ГРЭС» опубликовали нефинансовые экологические отчеты, можно считать, что практика КСО в России началась именно с них. В 2014 году в библиотеке нефинансовых отчетов Российского союза промышленников и предпринимателей зарегистрировано 469 нефинансовых отчетов компаний, работающих на российском рынке.  </w:t>
      </w:r>
      <w:r w:rsidR="00DE4C3D" w:rsidRPr="003643DB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C43FA" w:rsidRPr="003643DB">
        <w:rPr>
          <w:rFonts w:ascii="Times New Roman" w:hAnsi="Times New Roman" w:cs="Times New Roman"/>
          <w:sz w:val="24"/>
          <w:szCs w:val="24"/>
        </w:rPr>
        <w:t>2013 года компания «</w:t>
      </w:r>
      <w:proofErr w:type="spellStart"/>
      <w:r w:rsidR="00EC43FA" w:rsidRPr="003643DB">
        <w:rPr>
          <w:rFonts w:ascii="Times New Roman" w:hAnsi="Times New Roman" w:cs="Times New Roman"/>
          <w:sz w:val="24"/>
          <w:szCs w:val="24"/>
        </w:rPr>
        <w:t>ЭкоПромСистемы</w:t>
      </w:r>
      <w:proofErr w:type="spellEnd"/>
      <w:r w:rsidR="00EC43FA" w:rsidRPr="003643DB">
        <w:rPr>
          <w:rFonts w:ascii="Times New Roman" w:hAnsi="Times New Roman" w:cs="Times New Roman"/>
          <w:sz w:val="24"/>
          <w:szCs w:val="24"/>
        </w:rPr>
        <w:t xml:space="preserve">» совместно с национальной службой мониторинга подготовили интегральный рейтинг корпоративной социальной ответственности крупнейших </w:t>
      </w:r>
      <w:r w:rsidR="00A57C5B" w:rsidRPr="003643DB">
        <w:rPr>
          <w:rFonts w:ascii="Times New Roman" w:hAnsi="Times New Roman" w:cs="Times New Roman"/>
          <w:sz w:val="24"/>
          <w:szCs w:val="24"/>
        </w:rPr>
        <w:t>российских компаний. (</w:t>
      </w:r>
      <w:r w:rsidR="004E5732" w:rsidRPr="0036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732" w:rsidRPr="003643DB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="004E5732" w:rsidRPr="003643DB">
        <w:rPr>
          <w:rFonts w:ascii="Times New Roman" w:hAnsi="Times New Roman" w:cs="Times New Roman"/>
          <w:sz w:val="24"/>
          <w:szCs w:val="24"/>
        </w:rPr>
        <w:t>.</w:t>
      </w:r>
      <w:r w:rsidR="00A57C5B" w:rsidRPr="003643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A57C5B" w:rsidRPr="003643DB">
        <w:rPr>
          <w:rFonts w:ascii="Times New Roman" w:hAnsi="Times New Roman" w:cs="Times New Roman"/>
          <w:sz w:val="24"/>
          <w:szCs w:val="24"/>
        </w:rPr>
        <w:t>абл</w:t>
      </w:r>
      <w:proofErr w:type="spellEnd"/>
      <w:r w:rsidR="00A57C5B" w:rsidRPr="003643DB">
        <w:rPr>
          <w:rFonts w:ascii="Times New Roman" w:hAnsi="Times New Roman" w:cs="Times New Roman"/>
          <w:sz w:val="24"/>
          <w:szCs w:val="24"/>
        </w:rPr>
        <w:t xml:space="preserve"> 1)</w:t>
      </w:r>
      <w:r w:rsidR="003643DB">
        <w:rPr>
          <w:rFonts w:ascii="Times New Roman" w:hAnsi="Times New Roman" w:cs="Times New Roman"/>
          <w:sz w:val="24"/>
          <w:szCs w:val="24"/>
        </w:rPr>
        <w:t xml:space="preserve"> </w:t>
      </w:r>
      <w:r w:rsidR="007601CC">
        <w:rPr>
          <w:rFonts w:ascii="Times New Roman" w:hAnsi="Times New Roman" w:cs="Times New Roman"/>
          <w:sz w:val="24"/>
          <w:szCs w:val="24"/>
        </w:rPr>
        <w:t>Если рассмотреть в частном порядке</w:t>
      </w:r>
      <w:r w:rsidR="0093710B">
        <w:rPr>
          <w:rFonts w:ascii="Times New Roman" w:hAnsi="Times New Roman" w:cs="Times New Roman"/>
          <w:sz w:val="24"/>
          <w:szCs w:val="24"/>
        </w:rPr>
        <w:t xml:space="preserve"> КСО нескольких крупных компаний</w:t>
      </w:r>
      <w:r w:rsidR="007601CC">
        <w:rPr>
          <w:rFonts w:ascii="Times New Roman" w:hAnsi="Times New Roman" w:cs="Times New Roman"/>
          <w:sz w:val="24"/>
          <w:szCs w:val="24"/>
        </w:rPr>
        <w:t xml:space="preserve">, то социальные программы </w:t>
      </w:r>
      <w:r w:rsidR="00D670FA">
        <w:rPr>
          <w:rFonts w:ascii="Times New Roman" w:hAnsi="Times New Roman" w:cs="Times New Roman"/>
          <w:sz w:val="24"/>
          <w:szCs w:val="24"/>
        </w:rPr>
        <w:t xml:space="preserve">ОАО «Газпром» направлены на поддержку детских проектов спорта, культуры, живописи, кинематографа, образования, науки, помощь незащищенным слоям населения, ветеранам ПАО «Газпром». ОАО «Роснефть» </w:t>
      </w:r>
      <w:r w:rsidR="0093710B">
        <w:rPr>
          <w:rFonts w:ascii="Times New Roman" w:hAnsi="Times New Roman" w:cs="Times New Roman"/>
          <w:sz w:val="24"/>
          <w:szCs w:val="24"/>
        </w:rPr>
        <w:t>поддержка образования, науки, здравоохранения, детских дошкольных учреждений, ветеранов и инвалидов, коренных малочисленных народов севера, восстановления православных храмов</w:t>
      </w:r>
      <w:proofErr w:type="gramStart"/>
      <w:r w:rsidR="00295094">
        <w:rPr>
          <w:rFonts w:ascii="Times New Roman" w:hAnsi="Times New Roman" w:cs="Times New Roman"/>
          <w:sz w:val="24"/>
          <w:szCs w:val="24"/>
        </w:rPr>
        <w:t>,.</w:t>
      </w:r>
      <w:r w:rsidR="00937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710B">
        <w:rPr>
          <w:rFonts w:ascii="Times New Roman" w:hAnsi="Times New Roman" w:cs="Times New Roman"/>
          <w:sz w:val="24"/>
          <w:szCs w:val="24"/>
        </w:rPr>
        <w:t xml:space="preserve">ОАО «Лукойл» помощь сферам образования, медицины, музеев, корпоративного </w:t>
      </w:r>
      <w:proofErr w:type="spellStart"/>
      <w:r w:rsidR="0093710B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CB0EA6">
        <w:rPr>
          <w:rFonts w:ascii="Times New Roman" w:hAnsi="Times New Roman" w:cs="Times New Roman"/>
          <w:sz w:val="24"/>
          <w:szCs w:val="24"/>
        </w:rPr>
        <w:t>. За 20 лет КСО «Лукойл» выделил 73,1 млн дол</w:t>
      </w:r>
      <w:r w:rsidR="0093710B">
        <w:rPr>
          <w:rFonts w:ascii="Times New Roman" w:hAnsi="Times New Roman" w:cs="Times New Roman"/>
          <w:sz w:val="24"/>
          <w:szCs w:val="24"/>
        </w:rPr>
        <w:t>. ОАО «Сбербанк» поддержка спорта, образования и здравоохранени</w:t>
      </w:r>
      <w:r w:rsidR="00CB0EA6">
        <w:rPr>
          <w:rFonts w:ascii="Times New Roman" w:hAnsi="Times New Roman" w:cs="Times New Roman"/>
          <w:sz w:val="24"/>
          <w:szCs w:val="24"/>
        </w:rPr>
        <w:t>я.</w:t>
      </w:r>
      <w:r w:rsidR="00736258">
        <w:rPr>
          <w:rFonts w:ascii="Times New Roman" w:hAnsi="Times New Roman" w:cs="Times New Roman"/>
          <w:sz w:val="24"/>
          <w:szCs w:val="24"/>
        </w:rPr>
        <w:t xml:space="preserve"> Из всех перечисленных компаний в таблице 17 вошли в рейтинг крупнейших публичных компаний мира. Исходя из этих данных, можно сделать вывод, что </w:t>
      </w:r>
      <w:r w:rsidR="00FF080C">
        <w:rPr>
          <w:rFonts w:ascii="Times New Roman" w:hAnsi="Times New Roman" w:cs="Times New Roman"/>
          <w:sz w:val="24"/>
          <w:szCs w:val="24"/>
        </w:rPr>
        <w:t>КСО в</w:t>
      </w:r>
      <w:r w:rsidR="008D08B3">
        <w:rPr>
          <w:rFonts w:ascii="Times New Roman" w:hAnsi="Times New Roman" w:cs="Times New Roman"/>
          <w:sz w:val="24"/>
          <w:szCs w:val="24"/>
        </w:rPr>
        <w:t xml:space="preserve"> России является привилегией только крупного бизнеса, в области банковской сферы или добывающей промышленности. Возможно причинами </w:t>
      </w:r>
      <w:r w:rsidR="00FF080C">
        <w:rPr>
          <w:rFonts w:ascii="Times New Roman" w:hAnsi="Times New Roman" w:cs="Times New Roman"/>
          <w:sz w:val="24"/>
          <w:szCs w:val="24"/>
        </w:rPr>
        <w:t>невыхода</w:t>
      </w:r>
      <w:r w:rsidR="008D08B3">
        <w:rPr>
          <w:rFonts w:ascii="Times New Roman" w:hAnsi="Times New Roman" w:cs="Times New Roman"/>
          <w:sz w:val="24"/>
          <w:szCs w:val="24"/>
        </w:rPr>
        <w:t xml:space="preserve"> среднего бизнеса в область социальной ответственности бизнеса являются проблемы социальной нестабильности в стране, невозможность быть уверенным в своем завтрашнем дн</w:t>
      </w:r>
      <w:r w:rsidR="00240340">
        <w:rPr>
          <w:rFonts w:ascii="Times New Roman" w:hAnsi="Times New Roman" w:cs="Times New Roman"/>
          <w:sz w:val="24"/>
          <w:szCs w:val="24"/>
        </w:rPr>
        <w:t xml:space="preserve">е. А также неотрегулированными мерами государства по </w:t>
      </w:r>
      <w:r w:rsidR="0065282B">
        <w:rPr>
          <w:rFonts w:ascii="Times New Roman" w:hAnsi="Times New Roman" w:cs="Times New Roman"/>
          <w:sz w:val="24"/>
          <w:szCs w:val="24"/>
        </w:rPr>
        <w:t>стимулированию</w:t>
      </w:r>
      <w:r w:rsidR="00240340">
        <w:rPr>
          <w:rFonts w:ascii="Times New Roman" w:hAnsi="Times New Roman" w:cs="Times New Roman"/>
          <w:sz w:val="24"/>
          <w:szCs w:val="24"/>
        </w:rPr>
        <w:t xml:space="preserve"> и поддержке бизнеса, и главным </w:t>
      </w:r>
      <w:r w:rsidR="0065282B">
        <w:rPr>
          <w:rFonts w:ascii="Times New Roman" w:hAnsi="Times New Roman" w:cs="Times New Roman"/>
          <w:sz w:val="24"/>
          <w:szCs w:val="24"/>
        </w:rPr>
        <w:t>образом</w:t>
      </w:r>
      <w:r w:rsidR="00240340">
        <w:rPr>
          <w:rFonts w:ascii="Times New Roman" w:hAnsi="Times New Roman" w:cs="Times New Roman"/>
          <w:sz w:val="24"/>
          <w:szCs w:val="24"/>
        </w:rPr>
        <w:t xml:space="preserve"> контролировании и ограничении компаний. Государственная власть, как и раньше идет по пути запретов. </w:t>
      </w:r>
    </w:p>
    <w:p w:rsidR="00E21694" w:rsidRDefault="00FF080C" w:rsidP="003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добавить, что социальная ответственность может быть выражена и в работе некоммерческих организаций, и здесь сражу же возникает проблема низкой активности гражданского общества. Современные благотворительные организации можно разделить на семь групп: частные филантропы, самостоятельные благотворительные </w:t>
      </w:r>
      <w:r w:rsidR="00075626">
        <w:rPr>
          <w:rFonts w:ascii="Times New Roman" w:hAnsi="Times New Roman" w:cs="Times New Roman"/>
          <w:sz w:val="24"/>
          <w:szCs w:val="24"/>
        </w:rPr>
        <w:t>фонды, корпоративные</w:t>
      </w:r>
      <w:r>
        <w:rPr>
          <w:rFonts w:ascii="Times New Roman" w:hAnsi="Times New Roman" w:cs="Times New Roman"/>
          <w:sz w:val="24"/>
          <w:szCs w:val="24"/>
        </w:rPr>
        <w:t xml:space="preserve"> благотворительные фонды, благотворительные фонды известных людей, благотворительные фонда крупных предпринимателей, международные благотворительные организации, небольшие благотворительные организации, церковь. </w:t>
      </w:r>
      <w:r w:rsidR="004E5732">
        <w:rPr>
          <w:rFonts w:ascii="Times New Roman" w:hAnsi="Times New Roman" w:cs="Times New Roman"/>
          <w:sz w:val="24"/>
          <w:szCs w:val="24"/>
        </w:rPr>
        <w:t xml:space="preserve">(см </w:t>
      </w:r>
      <w:proofErr w:type="spellStart"/>
      <w:r w:rsidR="004E5732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="004E5732">
        <w:rPr>
          <w:rFonts w:ascii="Times New Roman" w:hAnsi="Times New Roman" w:cs="Times New Roman"/>
          <w:sz w:val="24"/>
          <w:szCs w:val="24"/>
        </w:rPr>
        <w:t xml:space="preserve"> 2)</w:t>
      </w:r>
      <w:r w:rsidR="003643DB">
        <w:rPr>
          <w:rFonts w:ascii="Times New Roman" w:hAnsi="Times New Roman" w:cs="Times New Roman"/>
          <w:sz w:val="24"/>
          <w:szCs w:val="24"/>
        </w:rPr>
        <w:t xml:space="preserve"> </w:t>
      </w:r>
      <w:r w:rsidR="00075626">
        <w:rPr>
          <w:rFonts w:ascii="Times New Roman" w:hAnsi="Times New Roman" w:cs="Times New Roman"/>
          <w:sz w:val="24"/>
          <w:szCs w:val="24"/>
        </w:rPr>
        <w:t xml:space="preserve">Отличительные черты самостоятельных благотворительных фондов можно определить </w:t>
      </w:r>
      <w:r w:rsidR="00075626">
        <w:rPr>
          <w:rFonts w:ascii="Times New Roman" w:hAnsi="Times New Roman" w:cs="Times New Roman"/>
          <w:sz w:val="24"/>
          <w:szCs w:val="24"/>
        </w:rPr>
        <w:lastRenderedPageBreak/>
        <w:t>следующим</w:t>
      </w:r>
      <w:r w:rsidR="00D87CE0">
        <w:rPr>
          <w:rFonts w:ascii="Times New Roman" w:hAnsi="Times New Roman" w:cs="Times New Roman"/>
          <w:sz w:val="24"/>
          <w:szCs w:val="24"/>
        </w:rPr>
        <w:t xml:space="preserve"> образом: общее время создания 2003-2005 гг. за данный период организации смогли приобрести существенный опыт деятельности, который может уверенно конкурировать с другими формами благотворительности. Имеется </w:t>
      </w:r>
      <w:r w:rsidR="007F0C57">
        <w:rPr>
          <w:rFonts w:ascii="Times New Roman" w:hAnsi="Times New Roman" w:cs="Times New Roman"/>
          <w:sz w:val="24"/>
          <w:szCs w:val="24"/>
        </w:rPr>
        <w:t xml:space="preserve">достаточно широкий спектр социальных программ, охватывающий как область культуры и искусства, науки, образования, спорта, медицины, и сохранения духовного наследия. Некоторые фонды охватывают до 12 регионов России, тем самым формируя у общественности новые стандарты социальной ответственности общества перед самим собой. Внушительные объемы аккумуляции и распределении средств пожертвований до 14 </w:t>
      </w:r>
      <w:proofErr w:type="spellStart"/>
      <w:r w:rsidR="007F0C57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="007F0C57">
        <w:rPr>
          <w:rFonts w:ascii="Times New Roman" w:hAnsi="Times New Roman" w:cs="Times New Roman"/>
          <w:sz w:val="24"/>
          <w:szCs w:val="24"/>
        </w:rPr>
        <w:t xml:space="preserve">. в год. И несоответствие социальной отчетности международным стандартам, меньшая прозрачность денежных потоков в сравнении фондов известных личностей.   </w:t>
      </w:r>
      <w:r w:rsidR="003643DB">
        <w:rPr>
          <w:rFonts w:ascii="Times New Roman" w:hAnsi="Times New Roman" w:cs="Times New Roman"/>
          <w:sz w:val="24"/>
          <w:szCs w:val="24"/>
        </w:rPr>
        <w:t xml:space="preserve">(см </w:t>
      </w:r>
      <w:proofErr w:type="spellStart"/>
      <w:r w:rsidR="003643DB">
        <w:rPr>
          <w:rFonts w:ascii="Times New Roman" w:hAnsi="Times New Roman" w:cs="Times New Roman"/>
          <w:sz w:val="24"/>
          <w:szCs w:val="24"/>
        </w:rPr>
        <w:t>табл</w:t>
      </w:r>
      <w:proofErr w:type="spellEnd"/>
      <w:r w:rsidR="003643DB">
        <w:rPr>
          <w:rFonts w:ascii="Times New Roman" w:hAnsi="Times New Roman" w:cs="Times New Roman"/>
          <w:sz w:val="24"/>
          <w:szCs w:val="24"/>
        </w:rPr>
        <w:t xml:space="preserve"> 3) </w:t>
      </w:r>
      <w:r w:rsidR="006E5949">
        <w:rPr>
          <w:rFonts w:ascii="Times New Roman" w:hAnsi="Times New Roman" w:cs="Times New Roman"/>
          <w:sz w:val="24"/>
          <w:szCs w:val="24"/>
        </w:rPr>
        <w:t xml:space="preserve">Как можно видеть из представленных данных преимущественная деятельность фондов связана с помощью больным детям, немногие организации занимаются поддержкой науки, спорта, культуры и направлений искусства, </w:t>
      </w:r>
      <w:r w:rsidR="0065282B">
        <w:rPr>
          <w:rFonts w:ascii="Times New Roman" w:hAnsi="Times New Roman" w:cs="Times New Roman"/>
          <w:sz w:val="24"/>
          <w:szCs w:val="24"/>
        </w:rPr>
        <w:t>фондов,</w:t>
      </w:r>
      <w:r w:rsidR="006E5949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65282B">
        <w:rPr>
          <w:rFonts w:ascii="Times New Roman" w:hAnsi="Times New Roman" w:cs="Times New Roman"/>
          <w:sz w:val="24"/>
          <w:szCs w:val="24"/>
        </w:rPr>
        <w:t>специализировались, например,</w:t>
      </w:r>
      <w:r w:rsidR="006E5949">
        <w:rPr>
          <w:rFonts w:ascii="Times New Roman" w:hAnsi="Times New Roman" w:cs="Times New Roman"/>
          <w:sz w:val="24"/>
          <w:szCs w:val="24"/>
        </w:rPr>
        <w:t xml:space="preserve"> только на науке или образовательной деятельности нет. При этом </w:t>
      </w:r>
      <w:r w:rsidR="00791768">
        <w:rPr>
          <w:rFonts w:ascii="Times New Roman" w:hAnsi="Times New Roman" w:cs="Times New Roman"/>
          <w:sz w:val="24"/>
          <w:szCs w:val="24"/>
        </w:rPr>
        <w:t>все реализованные проекты слабо освещаются в СМИ или на сайтах фонда. Высокая прозрачность собираемых и перечисляемых средств.</w:t>
      </w:r>
    </w:p>
    <w:p w:rsidR="00E87AEE" w:rsidRDefault="00791768" w:rsidP="00364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деятельности благотворительных фондов крупных предпринимателей приведена в </w:t>
      </w:r>
      <w:r w:rsidR="003643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табл. 4</w:t>
      </w:r>
      <w:r w:rsidR="003643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3DB">
        <w:rPr>
          <w:rFonts w:ascii="Times New Roman" w:hAnsi="Times New Roman" w:cs="Times New Roman"/>
          <w:sz w:val="24"/>
          <w:szCs w:val="24"/>
        </w:rPr>
        <w:t xml:space="preserve"> </w:t>
      </w:r>
      <w:r w:rsidR="00E87AEE">
        <w:rPr>
          <w:rFonts w:ascii="Times New Roman" w:hAnsi="Times New Roman" w:cs="Times New Roman"/>
          <w:sz w:val="24"/>
          <w:szCs w:val="24"/>
        </w:rPr>
        <w:t xml:space="preserve">Общие черты данных фондов следующие: более длительная история существования, начиная с 1998-1999 гг. Крупные потоки привлечения средств и размеров пожертвований до 7 </w:t>
      </w:r>
      <w:proofErr w:type="spellStart"/>
      <w:r w:rsidR="00E87AEE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E87A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87AE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E87AEE">
        <w:rPr>
          <w:rFonts w:ascii="Times New Roman" w:hAnsi="Times New Roman" w:cs="Times New Roman"/>
          <w:sz w:val="24"/>
          <w:szCs w:val="24"/>
        </w:rPr>
        <w:t>. в год. Более узкие направления вложения ресурсов: образование, здравоохранение, пожилые люди,</w:t>
      </w:r>
      <w:r w:rsidR="004E5732">
        <w:rPr>
          <w:rFonts w:ascii="Times New Roman" w:hAnsi="Times New Roman" w:cs="Times New Roman"/>
          <w:sz w:val="24"/>
          <w:szCs w:val="24"/>
        </w:rPr>
        <w:t xml:space="preserve"> территориальное развитие. Более значимым направлением является сфера образования и науки.</w:t>
      </w:r>
    </w:p>
    <w:p w:rsidR="004E5732" w:rsidRDefault="004E5732" w:rsidP="00E87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Сложившиеся ситуация благотворительных фондов </w:t>
      </w:r>
      <w:r w:rsidR="003643DB">
        <w:rPr>
          <w:rFonts w:ascii="Times New Roman" w:hAnsi="Times New Roman" w:cs="Times New Roman"/>
          <w:sz w:val="24"/>
          <w:szCs w:val="24"/>
        </w:rPr>
        <w:t>наглядно показывает нам, что увеличивается число подобных организаций, сами организации слабо себя освещают в СМИ и тем самым не дают знать общественности о своей деятельности, не вовлекая тем самым людей в благотворительность и не делая её обыденной нормой жизни, что могло бы и без того растущие сборы средств.</w:t>
      </w:r>
      <w:r w:rsidR="00295094">
        <w:rPr>
          <w:rFonts w:ascii="Times New Roman" w:hAnsi="Times New Roman" w:cs="Times New Roman"/>
          <w:sz w:val="24"/>
          <w:szCs w:val="24"/>
        </w:rPr>
        <w:t xml:space="preserve"> А также служить для представителей бизнеса конкурентом в борьбе за имидж социально ответственной компании, либо необходимой площадкой для совместного решения вопросов социальной ответственности.</w:t>
      </w:r>
      <w:r w:rsidR="003643DB">
        <w:rPr>
          <w:rFonts w:ascii="Times New Roman" w:hAnsi="Times New Roman" w:cs="Times New Roman"/>
          <w:sz w:val="24"/>
          <w:szCs w:val="24"/>
        </w:rPr>
        <w:t xml:space="preserve"> Большая часть фондов и их средств специализируется на направлении здравоохранения, направляя туда большую часть своих средств. На второй ступеньке меценатство в пользу искусства, поддержка науки и образования слабо развиты.</w:t>
      </w:r>
      <w:r w:rsidR="00295094">
        <w:rPr>
          <w:rFonts w:ascii="Times New Roman" w:hAnsi="Times New Roman" w:cs="Times New Roman"/>
          <w:sz w:val="24"/>
          <w:szCs w:val="24"/>
        </w:rPr>
        <w:t xml:space="preserve"> Осложняет ещё тот факт, что фонды, как и все организации платят налоги, как и все остальные, что существенно обременяет их деятельность, фактически в России существует запретительный налоговый режим для благотворительной деятельности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  <w:r w:rsidR="003600E1" w:rsidRPr="003600E1">
        <w:rPr>
          <w:rFonts w:ascii="Times New Roman" w:hAnsi="Times New Roman" w:cs="Times New Roman"/>
          <w:sz w:val="24"/>
          <w:szCs w:val="24"/>
        </w:rPr>
        <w:t>[</w:t>
      </w:r>
      <w:r w:rsidR="003600E1">
        <w:rPr>
          <w:rFonts w:ascii="Times New Roman" w:hAnsi="Times New Roman" w:cs="Times New Roman"/>
          <w:sz w:val="24"/>
          <w:szCs w:val="24"/>
        </w:rPr>
        <w:t>5</w:t>
      </w:r>
      <w:r w:rsidR="003600E1" w:rsidRPr="003600E1">
        <w:rPr>
          <w:rFonts w:ascii="Times New Roman" w:hAnsi="Times New Roman" w:cs="Times New Roman"/>
          <w:sz w:val="24"/>
          <w:szCs w:val="24"/>
        </w:rPr>
        <w:t>]</w:t>
      </w:r>
      <w:r w:rsidR="00295094">
        <w:rPr>
          <w:rFonts w:ascii="Times New Roman" w:hAnsi="Times New Roman" w:cs="Times New Roman"/>
          <w:sz w:val="24"/>
          <w:szCs w:val="24"/>
        </w:rPr>
        <w:t>.</w:t>
      </w:r>
      <w:r w:rsidR="003600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094" w:rsidRDefault="00CE1F68" w:rsidP="00E87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Получается, что широко реализуемой </w:t>
      </w:r>
      <w:r w:rsidR="00A8192A">
        <w:rPr>
          <w:rFonts w:ascii="Times New Roman" w:hAnsi="Times New Roman" w:cs="Times New Roman"/>
          <w:sz w:val="24"/>
          <w:szCs w:val="24"/>
        </w:rPr>
        <w:t>корпоративной</w:t>
      </w:r>
      <w:r>
        <w:rPr>
          <w:rFonts w:ascii="Times New Roman" w:hAnsi="Times New Roman" w:cs="Times New Roman"/>
          <w:sz w:val="24"/>
          <w:szCs w:val="24"/>
        </w:rPr>
        <w:t xml:space="preserve"> социальной </w:t>
      </w:r>
      <w:r w:rsidR="00A8192A">
        <w:rPr>
          <w:rFonts w:ascii="Times New Roman" w:hAnsi="Times New Roman" w:cs="Times New Roman"/>
          <w:sz w:val="24"/>
          <w:szCs w:val="24"/>
        </w:rPr>
        <w:t>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обладают лишь благотворительные фонды и крупные промышленные </w:t>
      </w:r>
      <w:r w:rsidR="00A8192A">
        <w:rPr>
          <w:rFonts w:ascii="Times New Roman" w:hAnsi="Times New Roman" w:cs="Times New Roman"/>
          <w:sz w:val="24"/>
          <w:szCs w:val="24"/>
        </w:rPr>
        <w:t>предприятия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313A5">
        <w:rPr>
          <w:rFonts w:ascii="Times New Roman" w:hAnsi="Times New Roman" w:cs="Times New Roman"/>
          <w:sz w:val="24"/>
          <w:szCs w:val="24"/>
        </w:rPr>
        <w:t>за счет того, что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общенациональным богатствам и находятся в области высоких социальных ожиданий, что обязывает их регулярно отчитываться перед обществом о своей социальной деятельности. При этом </w:t>
      </w:r>
      <w:r w:rsidR="00A8192A">
        <w:rPr>
          <w:rFonts w:ascii="Times New Roman" w:hAnsi="Times New Roman" w:cs="Times New Roman"/>
          <w:sz w:val="24"/>
          <w:szCs w:val="24"/>
        </w:rPr>
        <w:t xml:space="preserve">выход на уровень транснациональных компаний на международный рынок обязывает его членов вести полноценную социальную ответственность и предоставлять необходимую прозрачную отчетность, регламентированную по европейским стандартам. Здесь же встает проблема ограниченности ресурсов, </w:t>
      </w:r>
      <w:r w:rsidR="001313A5">
        <w:rPr>
          <w:rFonts w:ascii="Times New Roman" w:hAnsi="Times New Roman" w:cs="Times New Roman"/>
          <w:sz w:val="24"/>
          <w:szCs w:val="24"/>
        </w:rPr>
        <w:t>сумма средств,</w:t>
      </w:r>
      <w:r w:rsidR="00A8192A">
        <w:rPr>
          <w:rFonts w:ascii="Times New Roman" w:hAnsi="Times New Roman" w:cs="Times New Roman"/>
          <w:sz w:val="24"/>
          <w:szCs w:val="24"/>
        </w:rPr>
        <w:t xml:space="preserve"> направляемая компанией на КСО на </w:t>
      </w:r>
      <w:r w:rsidR="001313A5">
        <w:rPr>
          <w:rFonts w:ascii="Times New Roman" w:hAnsi="Times New Roman" w:cs="Times New Roman"/>
          <w:sz w:val="24"/>
          <w:szCs w:val="24"/>
        </w:rPr>
        <w:t>прямую,</w:t>
      </w:r>
      <w:r w:rsidR="00A8192A">
        <w:rPr>
          <w:rFonts w:ascii="Times New Roman" w:hAnsi="Times New Roman" w:cs="Times New Roman"/>
          <w:sz w:val="24"/>
          <w:szCs w:val="24"/>
        </w:rPr>
        <w:t xml:space="preserve"> зависит от объема прибыли компании. По состоянию на 2013 год к категории малого бизнеса принято относить фирмы, чья годовая выручка </w:t>
      </w:r>
      <w:r w:rsidR="00DA67FA">
        <w:rPr>
          <w:rFonts w:ascii="Times New Roman" w:hAnsi="Times New Roman" w:cs="Times New Roman"/>
          <w:sz w:val="24"/>
          <w:szCs w:val="24"/>
        </w:rPr>
        <w:t xml:space="preserve">не превышает 400 млн руб. Для сравнения выручка компании «Роснефть», возглавившей </w:t>
      </w:r>
      <w:r w:rsidR="001313A5">
        <w:rPr>
          <w:rFonts w:ascii="Times New Roman" w:hAnsi="Times New Roman" w:cs="Times New Roman"/>
          <w:sz w:val="24"/>
          <w:szCs w:val="24"/>
        </w:rPr>
        <w:t>рейтинг составила</w:t>
      </w:r>
      <w:r w:rsidR="00DA67FA">
        <w:rPr>
          <w:rFonts w:ascii="Times New Roman" w:hAnsi="Times New Roman" w:cs="Times New Roman"/>
          <w:sz w:val="24"/>
          <w:szCs w:val="24"/>
        </w:rPr>
        <w:t xml:space="preserve"> 4,694 трлн </w:t>
      </w:r>
      <w:proofErr w:type="spellStart"/>
      <w:r w:rsidR="00DA67F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DA67FA">
        <w:rPr>
          <w:rFonts w:ascii="Times New Roman" w:hAnsi="Times New Roman" w:cs="Times New Roman"/>
          <w:sz w:val="24"/>
          <w:szCs w:val="24"/>
        </w:rPr>
        <w:t>, а у компании «Магнит» замыкающей данный рейтинг этот показатель составил 579,5 млрд рублей.</w:t>
      </w:r>
      <w:r w:rsidR="001313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304" w:rsidRDefault="00C04008" w:rsidP="00E87A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предложенных данных отличительной чертой КСО является присутствие в основном только крупного предпринимательства, часть из которого владеет общими национальными благами и находится в поле зрения СМИ и общественных ожиданий в плане своей социальной политики</w:t>
      </w:r>
      <w:r w:rsidR="001A571D">
        <w:rPr>
          <w:rFonts w:ascii="Times New Roman" w:hAnsi="Times New Roman" w:cs="Times New Roman"/>
          <w:sz w:val="24"/>
          <w:szCs w:val="24"/>
        </w:rPr>
        <w:t xml:space="preserve">. При этом деятельность благотворительных фондов практически не освещается в СМИ или носит слабо выраженный характер. При этом для общества не становится благотворительность и КСО данностью, не привлекается внимание и как следствие возможный рост собираемых средств фондов не повышается. А также не повышаются и требования общества к КСО предприятий. Тем самым ещё одна галочка в формировании гражданского общества общественностью упущена. </w:t>
      </w:r>
      <w:r w:rsidR="003A45D9">
        <w:rPr>
          <w:rFonts w:ascii="Times New Roman" w:hAnsi="Times New Roman" w:cs="Times New Roman"/>
          <w:sz w:val="24"/>
          <w:szCs w:val="24"/>
        </w:rPr>
        <w:t>Причины реализации социальной ответственностью могут быть разными, это может «разумный эгоизм» и выгода от реализации своих социальных программ, это может решение топ-менеджера на добровольной основе делать вклад в развитие общества, так или иначе эти две крайности помогают социуму увеличивать свой человеческий капитал. Важно отметить, что налаживание требований государством к социальной ответственности бизнеса, её сбалансированность которая максимально возможно обеспечит ростом области поддержки, будь это наука или медицина, существенно увеличит качество жизни населения и его доходы, положительно повлияет на формирование гражданских инициатив. Но на данный момент полноценную помощь имеют только области здравоохранения и медицины, наблюдается дефицит в науке и частично в культуре и искусстве.</w:t>
      </w:r>
      <w:r w:rsidR="007F3304">
        <w:rPr>
          <w:rFonts w:ascii="Times New Roman" w:hAnsi="Times New Roman" w:cs="Times New Roman"/>
          <w:sz w:val="24"/>
          <w:szCs w:val="24"/>
        </w:rPr>
        <w:t xml:space="preserve"> Существование рейтингов компаний, осуществляющих КСО положительно влияет на формирование соперничества предприятий, которое может стать причиной роста качества КСО в целях повышения своего имиджа или других целей. Основными задачами сейчас является создание инструментов для </w:t>
      </w:r>
      <w:r w:rsidR="007F3304">
        <w:rPr>
          <w:rFonts w:ascii="Times New Roman" w:hAnsi="Times New Roman" w:cs="Times New Roman"/>
          <w:sz w:val="24"/>
          <w:szCs w:val="24"/>
        </w:rPr>
        <w:lastRenderedPageBreak/>
        <w:t>выхода малого и среднего предпринимательства на территорию социальной ответственности бизнеса, создание возможных объединений ресурсов для реализации социально значимых проектов</w:t>
      </w:r>
      <w:r w:rsidR="00923AC9">
        <w:rPr>
          <w:rFonts w:ascii="Times New Roman" w:hAnsi="Times New Roman" w:cs="Times New Roman"/>
          <w:sz w:val="24"/>
          <w:szCs w:val="24"/>
        </w:rPr>
        <w:t>, конечно, небольшой ресурс малых компаний сильно зависит от нестабильности и стабильности экономической и политической ситуации в стране, поддержки государства.  Основной задачей становится формирование законодательных норм социальной ответственности бизнеса.</w:t>
      </w:r>
    </w:p>
    <w:p w:rsidR="003600E1" w:rsidRDefault="003600E1" w:rsidP="003600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600E1" w:rsidRDefault="003600E1" w:rsidP="003600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Российского союза промышленников и предпринимателей. –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017AF">
          <w:rPr>
            <w:rStyle w:val="a5"/>
            <w:rFonts w:ascii="Times New Roman" w:hAnsi="Times New Roman" w:cs="Times New Roman"/>
            <w:sz w:val="24"/>
            <w:szCs w:val="24"/>
          </w:rPr>
          <w:t>http://xn--o1aabe.xn--p1ai/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00E1" w:rsidRDefault="003600E1" w:rsidP="003600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Благотворительность в России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600E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веке: характерные черты, сложности, пути развития</w:t>
      </w:r>
      <w:r w:rsidRPr="003600E1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Гениберг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="00EE71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Вестник</w:t>
      </w:r>
      <w:r w:rsidR="00EE717C">
        <w:rPr>
          <w:rFonts w:ascii="Times New Roman" w:hAnsi="Times New Roman" w:cs="Times New Roman"/>
          <w:sz w:val="24"/>
          <w:szCs w:val="24"/>
        </w:rPr>
        <w:t xml:space="preserve"> ТОГУ 2016 3(42)</w:t>
      </w:r>
    </w:p>
    <w:p w:rsidR="00EE717C" w:rsidRDefault="00EE717C" w:rsidP="003600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Полюшкевич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Введение в корпоративную социальную ответственность</w:t>
      </w:r>
      <w:r w:rsidR="00E200B7" w:rsidRPr="00E200B7">
        <w:rPr>
          <w:rFonts w:ascii="Times New Roman" w:hAnsi="Times New Roman" w:cs="Times New Roman"/>
          <w:sz w:val="24"/>
          <w:szCs w:val="24"/>
        </w:rPr>
        <w:t>//</w:t>
      </w:r>
      <w:r w:rsidR="00E20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B7">
        <w:rPr>
          <w:rFonts w:ascii="Times New Roman" w:hAnsi="Times New Roman" w:cs="Times New Roman"/>
          <w:sz w:val="24"/>
          <w:szCs w:val="24"/>
        </w:rPr>
        <w:t>Полюшкевич</w:t>
      </w:r>
      <w:proofErr w:type="spellEnd"/>
      <w:r w:rsidR="00E200B7">
        <w:rPr>
          <w:rFonts w:ascii="Times New Roman" w:hAnsi="Times New Roman" w:cs="Times New Roman"/>
          <w:sz w:val="24"/>
          <w:szCs w:val="24"/>
        </w:rPr>
        <w:t xml:space="preserve"> О.А. Иркутск</w:t>
      </w:r>
      <w:proofErr w:type="gramStart"/>
      <w:r w:rsidR="00E200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00B7">
        <w:rPr>
          <w:rFonts w:ascii="Times New Roman" w:hAnsi="Times New Roman" w:cs="Times New Roman"/>
          <w:sz w:val="24"/>
          <w:szCs w:val="24"/>
        </w:rPr>
        <w:t xml:space="preserve"> Изд-во ИГУ 2012</w:t>
      </w:r>
    </w:p>
    <w:p w:rsidR="002911AA" w:rsidRDefault="00E200B7" w:rsidP="003600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3D0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Pr="00D833D0">
        <w:rPr>
          <w:rFonts w:ascii="Times New Roman" w:hAnsi="Times New Roman" w:cs="Times New Roman"/>
          <w:sz w:val="24"/>
          <w:szCs w:val="24"/>
        </w:rPr>
        <w:t>Девятловский</w:t>
      </w:r>
      <w:proofErr w:type="spellEnd"/>
      <w:r w:rsidRPr="00D833D0">
        <w:rPr>
          <w:rFonts w:ascii="Times New Roman" w:hAnsi="Times New Roman" w:cs="Times New Roman"/>
          <w:sz w:val="24"/>
          <w:szCs w:val="24"/>
        </w:rPr>
        <w:t xml:space="preserve"> корпоративная социальная ответственность в России: проблемы малого </w:t>
      </w:r>
      <w:r w:rsidR="002911AA" w:rsidRPr="00D833D0">
        <w:rPr>
          <w:rFonts w:ascii="Times New Roman" w:hAnsi="Times New Roman" w:cs="Times New Roman"/>
          <w:sz w:val="24"/>
          <w:szCs w:val="24"/>
        </w:rPr>
        <w:t>бизнеса</w:t>
      </w:r>
      <w:r w:rsidR="00D833D0" w:rsidRPr="00D833D0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="00D833D0" w:rsidRPr="00D833D0">
        <w:rPr>
          <w:rFonts w:ascii="Times New Roman" w:hAnsi="Times New Roman" w:cs="Times New Roman"/>
          <w:sz w:val="24"/>
          <w:szCs w:val="24"/>
        </w:rPr>
        <w:t>Девятловский</w:t>
      </w:r>
      <w:proofErr w:type="spellEnd"/>
      <w:r w:rsidR="00D833D0" w:rsidRPr="00D833D0">
        <w:rPr>
          <w:rFonts w:ascii="Times New Roman" w:hAnsi="Times New Roman" w:cs="Times New Roman"/>
          <w:sz w:val="24"/>
          <w:szCs w:val="24"/>
        </w:rPr>
        <w:t xml:space="preserve"> Д.Н. – </w:t>
      </w:r>
      <w:r w:rsidR="00D833D0">
        <w:rPr>
          <w:rFonts w:ascii="Times New Roman" w:hAnsi="Times New Roman" w:cs="Times New Roman"/>
          <w:sz w:val="24"/>
          <w:szCs w:val="24"/>
        </w:rPr>
        <w:t xml:space="preserve">РСПП.М., 2006г. – 108с. </w:t>
      </w:r>
    </w:p>
    <w:p w:rsidR="00E21694" w:rsidRDefault="00D833D0" w:rsidP="00D833D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3D0">
        <w:rPr>
          <w:rFonts w:ascii="Times New Roman" w:hAnsi="Times New Roman" w:cs="Times New Roman"/>
          <w:sz w:val="24"/>
          <w:szCs w:val="24"/>
        </w:rPr>
        <w:t xml:space="preserve">Нефинансовые отчеты компаний, работающих в Росси: практика развития социальной отчетности. Аналитический обзор. </w:t>
      </w:r>
      <w:r w:rsidRPr="00D833D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833D0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0017AF">
          <w:rPr>
            <w:rStyle w:val="a5"/>
            <w:rFonts w:ascii="Times New Roman" w:hAnsi="Times New Roman" w:cs="Times New Roman"/>
            <w:sz w:val="24"/>
            <w:szCs w:val="24"/>
          </w:rPr>
          <w:t>https://goo.gl/2Gmnur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694" w:rsidRDefault="00110E04" w:rsidP="00110E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110E04" w:rsidRDefault="00110E04" w:rsidP="00110E0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110E04" w:rsidRPr="004E5732" w:rsidRDefault="00110E04" w:rsidP="00110E0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Интегральный рейтинг корпоративной социальной ответственности крупнейших российских компаний за 2013 год 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1384"/>
        <w:gridCol w:w="1896"/>
        <w:gridCol w:w="1831"/>
        <w:gridCol w:w="2011"/>
        <w:gridCol w:w="1663"/>
      </w:tblGrid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деятельности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медиактивности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РОСНЕФТЬ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ВТБ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ЛУКОЙЛ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НОРИЛЬСКИЙ НИКЕЛЬ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СБЕРБАНК РОССИИ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РЖД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СЕВЕРСТАЛЬ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ТАТНЕФТЬ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АФК «СИСТЕМА»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НЛКМ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 ГРУП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 РАО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НЕФТЕГАЗ</w:t>
            </w:r>
            <w:proofErr w:type="gramEnd"/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GROUP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ТРОЙГАЗ КОНСАЛТИНГ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МЕЧЕЛ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10E04" w:rsidTr="0056789F"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5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110E04" w:rsidRPr="00A57C5B" w:rsidRDefault="00110E04" w:rsidP="00110E0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</w:tbl>
    <w:p w:rsidR="00110E04" w:rsidRDefault="00110E04" w:rsidP="00110E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110E04" w:rsidRDefault="00110E04" w:rsidP="00110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деятельности самостоятельных благотворительных фондов в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7"/>
        <w:gridCol w:w="2802"/>
        <w:gridCol w:w="3364"/>
        <w:gridCol w:w="1801"/>
      </w:tblGrid>
      <w:tr w:rsidR="00110E04" w:rsidTr="0056789F">
        <w:tc>
          <w:tcPr>
            <w:tcW w:w="1887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Основатель, год создания</w:t>
            </w:r>
          </w:p>
        </w:tc>
        <w:tc>
          <w:tcPr>
            <w:tcW w:w="3064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и направления вложения средств</w:t>
            </w:r>
          </w:p>
        </w:tc>
        <w:tc>
          <w:tcPr>
            <w:tcW w:w="4116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и благотворительные проекты</w:t>
            </w:r>
          </w:p>
        </w:tc>
        <w:tc>
          <w:tcPr>
            <w:tcW w:w="561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пожертвований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B3682B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Благотворительный фонд «Солнечный город» </w:t>
            </w:r>
          </w:p>
        </w:tc>
      </w:tr>
      <w:tr w:rsidR="00110E04" w:rsidTr="0056789F">
        <w:tc>
          <w:tcPr>
            <w:tcW w:w="1887" w:type="dxa"/>
          </w:tcPr>
          <w:p w:rsidR="00110E04" w:rsidRPr="00B3682B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компания «NL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ntemational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2007</w:t>
            </w:r>
          </w:p>
        </w:tc>
        <w:tc>
          <w:tcPr>
            <w:tcW w:w="3064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больным детям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оказавшимся в сложной жизненной ситуации </w:t>
            </w:r>
          </w:p>
        </w:tc>
        <w:tc>
          <w:tcPr>
            <w:tcW w:w="4116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«Открывая горизонты» «Дорога к дому» лига волонтеров, служба сопровождения воспитанников и выпускников образовательного учреждения «сестринский уход» семейная помощь, наставничество</w:t>
            </w:r>
          </w:p>
        </w:tc>
        <w:tc>
          <w:tcPr>
            <w:tcW w:w="561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2013-2014 гг. 69010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руб. За 2015 г. 25528 тыс. руб.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ED36E2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Благотворительный фонд «Линия жизни»</w:t>
            </w:r>
          </w:p>
        </w:tc>
      </w:tr>
      <w:tr w:rsidR="00110E04" w:rsidTr="0056789F">
        <w:tc>
          <w:tcPr>
            <w:tcW w:w="1887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Сысуев, Елена Тополева, Андрей Бильжо</w:t>
            </w:r>
          </w:p>
        </w:tc>
        <w:tc>
          <w:tcPr>
            <w:tcW w:w="3064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тяжелобольным детям.  Формирование культуры благотворительности</w:t>
            </w:r>
          </w:p>
        </w:tc>
        <w:tc>
          <w:tcPr>
            <w:tcW w:w="4116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при диагнозах: врожденный порок сердца, нарушение ритма сердца, сосудистая патология головного мозга. Краниостеноз, сколиоз.</w:t>
            </w:r>
          </w:p>
        </w:tc>
        <w:tc>
          <w:tcPr>
            <w:tcW w:w="561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Спасено более 9008 детей в России. Всего на проведение операций было собрано болен 2, 08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ED36E2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D36E2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Благотворительный фонд «Возрождение»</w:t>
            </w:r>
          </w:p>
        </w:tc>
      </w:tr>
      <w:tr w:rsidR="00110E04" w:rsidTr="0056789F">
        <w:tc>
          <w:tcPr>
            <w:tcW w:w="1887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Кушнеров, 2005</w:t>
            </w:r>
          </w:p>
        </w:tc>
        <w:tc>
          <w:tcPr>
            <w:tcW w:w="3064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детям-сиротам, популяризация спорта и здорового образа жизни, улучшение материального положения многодетных семей, реабилитация детей инвалидов </w:t>
            </w:r>
          </w:p>
        </w:tc>
        <w:tc>
          <w:tcPr>
            <w:tcW w:w="4116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программы «Спорт» «Помощь инвалидам» «Многодетные семьи» «Полярная звезда»</w:t>
            </w:r>
          </w:p>
        </w:tc>
        <w:tc>
          <w:tcPr>
            <w:tcW w:w="561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2005-2010 г. – 49793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гг. – 11072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2013-2014 гг. 11639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</w:p>
        </w:tc>
      </w:tr>
    </w:tbl>
    <w:p w:rsidR="00110E04" w:rsidRDefault="00110E04" w:rsidP="00110E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110E04" w:rsidRDefault="00110E04" w:rsidP="00110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деятельности благотворительных фондов известных личностей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3390"/>
        <w:gridCol w:w="2715"/>
        <w:gridCol w:w="2120"/>
      </w:tblGrid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Основатель, год создания</w:t>
            </w:r>
          </w:p>
        </w:tc>
        <w:tc>
          <w:tcPr>
            <w:tcW w:w="339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и направления вложения средств</w:t>
            </w:r>
          </w:p>
        </w:tc>
        <w:tc>
          <w:tcPr>
            <w:tcW w:w="2653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благотворительные проекты</w:t>
            </w:r>
          </w:p>
        </w:tc>
        <w:tc>
          <w:tcPr>
            <w:tcW w:w="212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пожертвований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E21694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Благотворительный Фонд Константина Хабенского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Хабенский 2008</w:t>
            </w:r>
          </w:p>
        </w:tc>
        <w:tc>
          <w:tcPr>
            <w:tcW w:w="3390" w:type="dxa"/>
          </w:tcPr>
          <w:p w:rsidR="00110E04" w:rsidRDefault="00110E04" w:rsidP="0011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детям с онкологическими и другими тяжелыми заболеваниями головного мозга. Финансирование повышение квалификации врачей-онкологов</w:t>
            </w:r>
          </w:p>
        </w:tc>
        <w:tc>
          <w:tcPr>
            <w:tcW w:w="2653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программы «Адресная помощь детям с тяжелыми заболеваниями головного мозга»</w:t>
            </w:r>
          </w:p>
        </w:tc>
        <w:tc>
          <w:tcPr>
            <w:tcW w:w="212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2013 г. 30000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2014 г. – 85877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За 2015 г. 129972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E21694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Фонд «Подари Жизнь»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 Корзун и Чулпан Хаматова, 2006</w:t>
            </w:r>
          </w:p>
        </w:tc>
        <w:tc>
          <w:tcPr>
            <w:tcW w:w="3390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гематологическимим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заболеваниями. Закупка препаратов и оборудования для диагностики и лечения. Организация зарубежного лечения.</w:t>
            </w:r>
          </w:p>
        </w:tc>
        <w:tc>
          <w:tcPr>
            <w:tcW w:w="2653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«Адресная помощь» «Незарегистрированные лекарства» Проведение благотворительных концертов</w:t>
            </w:r>
          </w:p>
        </w:tc>
        <w:tc>
          <w:tcPr>
            <w:tcW w:w="212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2007-2009 г. 548681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2010-2012г. 2179559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2013-2015г. 3120922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B427EC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благотворительный фонд Владимира Спивакова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Спиваков, 1994</w:t>
            </w:r>
          </w:p>
        </w:tc>
        <w:tc>
          <w:tcPr>
            <w:tcW w:w="3390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молодым талантливым музыкантам, танцорам, художникам, поддержка многих социальных программ, связанных с образованием, наукой, искусством, поддержка детского здоровья, помощь сиротам, детям инвалидам.  </w:t>
            </w:r>
            <w:proofErr w:type="gramEnd"/>
          </w:p>
        </w:tc>
        <w:tc>
          <w:tcPr>
            <w:tcW w:w="2653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для одаренных детей мастер-классов, концертов, туров и выставок. Постоянная поддержка музыкальным школам некоторых регионов России.</w:t>
            </w:r>
          </w:p>
        </w:tc>
        <w:tc>
          <w:tcPr>
            <w:tcW w:w="212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631EC4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Фонд помощи детям «Обнаженные сердца»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Водянова, 2004</w:t>
            </w:r>
          </w:p>
        </w:tc>
        <w:tc>
          <w:tcPr>
            <w:tcW w:w="339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детям в России и за её пределами, попытка переломить существующую в России практику отказываться от детей с особенностями развития. Продвижение законодательных поправок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ратификацией конвенции ООН по правам инвалидов</w:t>
            </w:r>
          </w:p>
        </w:tc>
        <w:tc>
          <w:tcPr>
            <w:tcW w:w="2653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построил 90 игровых объектов, в том числе в детских домах </w:t>
            </w:r>
          </w:p>
        </w:tc>
        <w:tc>
          <w:tcPr>
            <w:tcW w:w="2120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8 млн. долл.</w:t>
            </w:r>
          </w:p>
        </w:tc>
      </w:tr>
    </w:tbl>
    <w:p w:rsidR="00110E04" w:rsidRDefault="00110E04" w:rsidP="00110E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110E04" w:rsidRDefault="00110E04" w:rsidP="00110E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деятельности благотворительных фондов крупных предпринимателей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2625"/>
        <w:gridCol w:w="3702"/>
        <w:gridCol w:w="1836"/>
      </w:tblGrid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Основатель, год создания</w:t>
            </w:r>
          </w:p>
        </w:tc>
        <w:tc>
          <w:tcPr>
            <w:tcW w:w="262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и направления вложения средств</w:t>
            </w:r>
          </w:p>
        </w:tc>
        <w:tc>
          <w:tcPr>
            <w:tcW w:w="3702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Крупные благотворительные проекты</w:t>
            </w:r>
          </w:p>
        </w:tc>
        <w:tc>
          <w:tcPr>
            <w:tcW w:w="1836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Суммы пожертвований 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Потанин, 1999</w:t>
            </w:r>
          </w:p>
        </w:tc>
        <w:tc>
          <w:tcPr>
            <w:tcW w:w="262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образование. Помощь музеям.</w:t>
            </w:r>
          </w:p>
        </w:tc>
        <w:tc>
          <w:tcPr>
            <w:tcW w:w="3702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Стипендиальные программы, конкурсы, олимпийские стипендии победителям международных олимпиад, студентам, преподавателям.</w:t>
            </w:r>
          </w:p>
        </w:tc>
        <w:tc>
          <w:tcPr>
            <w:tcW w:w="1836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915FBC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Фонд «Династия»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2001</w:t>
            </w:r>
          </w:p>
        </w:tc>
        <w:tc>
          <w:tcPr>
            <w:tcW w:w="2625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фундаментальной науки и образования, создание условий для работы ученых на родине, популяризация науки</w:t>
            </w:r>
          </w:p>
        </w:tc>
        <w:tc>
          <w:tcPr>
            <w:tcW w:w="3702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 для студентов и аспирантов. 20 программ в области поддержки и популяризации науки: для молодых физиков и математиков, учителей, одаренных школьников и будущих ученых.</w:t>
            </w:r>
          </w:p>
        </w:tc>
        <w:tc>
          <w:tcPr>
            <w:tcW w:w="1836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2014 г.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дол.</w:t>
            </w:r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915FBC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FBC">
              <w:rPr>
                <w:rFonts w:ascii="Times New Roman" w:hAnsi="Times New Roman" w:cs="Times New Roman"/>
                <w:b/>
                <w:sz w:val="24"/>
                <w:szCs w:val="24"/>
              </w:rPr>
              <w:t>Фонд «Вольное дело»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Олег Дерипаска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1998</w:t>
            </w:r>
          </w:p>
        </w:tc>
        <w:tc>
          <w:tcPr>
            <w:tcW w:w="2625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науки, талантливой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молодежи, образования, здравоохранения, защита животных, помощь инвалидам.</w:t>
            </w:r>
          </w:p>
        </w:tc>
        <w:tc>
          <w:tcPr>
            <w:tcW w:w="3702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в области науки, образования, сохранения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исторического и культурного наследия, духовного возрождения </w:t>
            </w:r>
          </w:p>
        </w:tc>
        <w:tc>
          <w:tcPr>
            <w:tcW w:w="1836" w:type="dxa"/>
          </w:tcPr>
          <w:p w:rsidR="00110E04" w:rsidRDefault="00110E04" w:rsidP="00110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г. более 441, 7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10E04" w:rsidTr="0056789F">
        <w:tc>
          <w:tcPr>
            <w:tcW w:w="9628" w:type="dxa"/>
            <w:gridSpan w:val="4"/>
          </w:tcPr>
          <w:p w:rsidR="00110E04" w:rsidRPr="00915FBC" w:rsidRDefault="00110E04" w:rsidP="00110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Благотворительный фонд Михаила Прохорова </w:t>
            </w:r>
          </w:p>
        </w:tc>
      </w:tr>
      <w:tr w:rsidR="00110E04" w:rsidTr="0056789F">
        <w:tc>
          <w:tcPr>
            <w:tcW w:w="146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Прохоров</w:t>
            </w:r>
          </w:p>
        </w:tc>
        <w:tc>
          <w:tcPr>
            <w:tcW w:w="2625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поддержка культуры в российских регионах</w:t>
            </w:r>
          </w:p>
        </w:tc>
        <w:tc>
          <w:tcPr>
            <w:tcW w:w="3702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литературная Премия «НОС» Красноярская ярмарка книжной литературы, научно-исследовательский проект «локальные истории» «Театральный синдром»</w:t>
            </w:r>
          </w:p>
        </w:tc>
        <w:tc>
          <w:tcPr>
            <w:tcW w:w="1836" w:type="dxa"/>
          </w:tcPr>
          <w:p w:rsidR="00110E04" w:rsidRDefault="00110E04" w:rsidP="00110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10 лет работы бюджет фонда превысил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млрд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</w:tbl>
    <w:p w:rsidR="00110E04" w:rsidRPr="003A7340" w:rsidRDefault="00110E04" w:rsidP="00110E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10E04" w:rsidRPr="003A7340" w:rsidSect="00D93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0B89"/>
    <w:multiLevelType w:val="hybridMultilevel"/>
    <w:tmpl w:val="10DAFCA6"/>
    <w:lvl w:ilvl="0" w:tplc="7BC0D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912132"/>
    <w:multiLevelType w:val="hybridMultilevel"/>
    <w:tmpl w:val="3F8E7EC0"/>
    <w:lvl w:ilvl="0" w:tplc="7F8CB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0A"/>
    <w:rsid w:val="00075626"/>
    <w:rsid w:val="00093DEE"/>
    <w:rsid w:val="00110E04"/>
    <w:rsid w:val="00113E0C"/>
    <w:rsid w:val="001313A5"/>
    <w:rsid w:val="00174767"/>
    <w:rsid w:val="001A571D"/>
    <w:rsid w:val="001A7138"/>
    <w:rsid w:val="001E192F"/>
    <w:rsid w:val="00240340"/>
    <w:rsid w:val="00250F8B"/>
    <w:rsid w:val="00266FC8"/>
    <w:rsid w:val="002911AA"/>
    <w:rsid w:val="00295094"/>
    <w:rsid w:val="002A663A"/>
    <w:rsid w:val="0032096A"/>
    <w:rsid w:val="003600E1"/>
    <w:rsid w:val="003643DB"/>
    <w:rsid w:val="003A45D9"/>
    <w:rsid w:val="0046280B"/>
    <w:rsid w:val="00494395"/>
    <w:rsid w:val="004A3310"/>
    <w:rsid w:val="004A3AFB"/>
    <w:rsid w:val="004E5732"/>
    <w:rsid w:val="00581EA6"/>
    <w:rsid w:val="00631EC4"/>
    <w:rsid w:val="0065282B"/>
    <w:rsid w:val="00675083"/>
    <w:rsid w:val="006E5949"/>
    <w:rsid w:val="006E68C4"/>
    <w:rsid w:val="00736258"/>
    <w:rsid w:val="007601CC"/>
    <w:rsid w:val="00781149"/>
    <w:rsid w:val="00791768"/>
    <w:rsid w:val="007D68D9"/>
    <w:rsid w:val="007E1FF0"/>
    <w:rsid w:val="007F0C57"/>
    <w:rsid w:val="007F3304"/>
    <w:rsid w:val="00822933"/>
    <w:rsid w:val="0082637C"/>
    <w:rsid w:val="008575A8"/>
    <w:rsid w:val="00866ED6"/>
    <w:rsid w:val="008D08B3"/>
    <w:rsid w:val="008E2682"/>
    <w:rsid w:val="008E4AAA"/>
    <w:rsid w:val="00915FBC"/>
    <w:rsid w:val="00923AC9"/>
    <w:rsid w:val="0093710B"/>
    <w:rsid w:val="009408E6"/>
    <w:rsid w:val="009C0324"/>
    <w:rsid w:val="00A57C5B"/>
    <w:rsid w:val="00A610FE"/>
    <w:rsid w:val="00A8192A"/>
    <w:rsid w:val="00B1239E"/>
    <w:rsid w:val="00B3682B"/>
    <w:rsid w:val="00B427EC"/>
    <w:rsid w:val="00C04008"/>
    <w:rsid w:val="00C30B99"/>
    <w:rsid w:val="00CB0EA6"/>
    <w:rsid w:val="00CD1550"/>
    <w:rsid w:val="00CE1F68"/>
    <w:rsid w:val="00D16E25"/>
    <w:rsid w:val="00D35A59"/>
    <w:rsid w:val="00D63436"/>
    <w:rsid w:val="00D670FA"/>
    <w:rsid w:val="00D833D0"/>
    <w:rsid w:val="00D87CE0"/>
    <w:rsid w:val="00D93D0A"/>
    <w:rsid w:val="00DA2812"/>
    <w:rsid w:val="00DA67FA"/>
    <w:rsid w:val="00DE4C3D"/>
    <w:rsid w:val="00E01E05"/>
    <w:rsid w:val="00E1232B"/>
    <w:rsid w:val="00E200B7"/>
    <w:rsid w:val="00E21694"/>
    <w:rsid w:val="00E225CB"/>
    <w:rsid w:val="00E52B5B"/>
    <w:rsid w:val="00E55697"/>
    <w:rsid w:val="00E61D8E"/>
    <w:rsid w:val="00E70CC8"/>
    <w:rsid w:val="00E87AEE"/>
    <w:rsid w:val="00E91891"/>
    <w:rsid w:val="00EA69D7"/>
    <w:rsid w:val="00EB0138"/>
    <w:rsid w:val="00EC43FA"/>
    <w:rsid w:val="00ED36E2"/>
    <w:rsid w:val="00EE717C"/>
    <w:rsid w:val="00F65C34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12"/>
    <w:pPr>
      <w:ind w:left="720"/>
      <w:contextualSpacing/>
    </w:pPr>
  </w:style>
  <w:style w:type="table" w:styleId="a4">
    <w:name w:val="Table Grid"/>
    <w:basedOn w:val="a1"/>
    <w:uiPriority w:val="39"/>
    <w:rsid w:val="00A5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0E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12"/>
    <w:pPr>
      <w:ind w:left="720"/>
      <w:contextualSpacing/>
    </w:pPr>
  </w:style>
  <w:style w:type="table" w:styleId="a4">
    <w:name w:val="Table Grid"/>
    <w:basedOn w:val="a1"/>
    <w:uiPriority w:val="39"/>
    <w:rsid w:val="00A57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0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2Gmnur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o1aabe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501DA-39F0-4662-B930-D6580ABF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</cp:lastModifiedBy>
  <cp:revision>2</cp:revision>
  <dcterms:created xsi:type="dcterms:W3CDTF">2017-10-17T22:36:00Z</dcterms:created>
  <dcterms:modified xsi:type="dcterms:W3CDTF">2017-10-17T22:36:00Z</dcterms:modified>
</cp:coreProperties>
</file>